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9AA" w:rsidRDefault="003F19AA">
      <w:pPr>
        <w:spacing w:line="360" w:lineRule="auto"/>
        <w:jc w:val="center"/>
        <w:rPr>
          <w:b/>
        </w:rPr>
      </w:pPr>
      <w:r>
        <w:rPr>
          <w:b/>
        </w:rPr>
        <w:t>ANTIMICROB</w:t>
      </w:r>
      <w:r w:rsidR="003139F8">
        <w:rPr>
          <w:b/>
        </w:rPr>
        <w:t>IAL SENSITIVITY PATTERN OF METHI</w:t>
      </w:r>
      <w:r>
        <w:rPr>
          <w:b/>
        </w:rPr>
        <w:t>CILLIN RESISTANT STAPHYLOCOCCUS AUREUS ISOLATED FROM HOSPITALS OF KOHAT DISTRICT, PAKISTAN</w:t>
      </w:r>
    </w:p>
    <w:p w:rsidR="003F19AA" w:rsidRDefault="003F19AA">
      <w:pPr>
        <w:spacing w:line="360" w:lineRule="auto"/>
        <w:jc w:val="center"/>
        <w:rPr>
          <w:b/>
        </w:rPr>
      </w:pPr>
    </w:p>
    <w:p w:rsidR="003F19AA" w:rsidRDefault="003F19AA">
      <w:pPr>
        <w:spacing w:line="360" w:lineRule="auto"/>
        <w:jc w:val="center"/>
        <w:rPr>
          <w:b/>
          <w:iCs/>
        </w:rPr>
      </w:pPr>
      <w:r>
        <w:rPr>
          <w:b/>
        </w:rPr>
        <w:t xml:space="preserve">Antimicrobial sensitivity Pattern of Methicillin Resistant </w:t>
      </w:r>
      <w:r>
        <w:rPr>
          <w:b/>
          <w:i/>
        </w:rPr>
        <w:t>Staphylococcus aureus</w:t>
      </w:r>
      <w:r>
        <w:rPr>
          <w:b/>
          <w:iCs/>
        </w:rPr>
        <w:t xml:space="preserve"> Isolated from Hospitals of Kohat District, Pakistan</w:t>
      </w:r>
    </w:p>
    <w:p w:rsidR="003F19AA" w:rsidRDefault="003F19AA">
      <w:pPr>
        <w:spacing w:line="360" w:lineRule="auto"/>
        <w:jc w:val="center"/>
        <w:rPr>
          <w:b/>
          <w:iCs/>
        </w:rPr>
      </w:pPr>
    </w:p>
    <w:p w:rsidR="003F19AA" w:rsidRDefault="003F19AA">
      <w:pPr>
        <w:pStyle w:val="BodyText2"/>
      </w:pPr>
      <w:r>
        <w:t>Mubbashir Hussain *1, Samina Ashiq 2, Abdul Basit 1, Abdullah Khan 1, Asif Junaid 1 and Muhammad Shahid 3</w:t>
      </w:r>
    </w:p>
    <w:p w:rsidR="003F19AA" w:rsidRDefault="003F19AA">
      <w:pPr>
        <w:spacing w:line="360" w:lineRule="auto"/>
        <w:jc w:val="center"/>
        <w:rPr>
          <w:bCs/>
          <w:iCs/>
        </w:rPr>
      </w:pPr>
      <w:r>
        <w:rPr>
          <w:bCs/>
          <w:iCs/>
        </w:rPr>
        <w:t>*1. Department of Microbiology, Kohat University of Science and Technology, Pakistan</w:t>
      </w:r>
    </w:p>
    <w:p w:rsidR="003F19AA" w:rsidRDefault="003F19AA">
      <w:pPr>
        <w:spacing w:line="360" w:lineRule="auto"/>
        <w:rPr>
          <w:bCs/>
          <w:iCs/>
        </w:rPr>
      </w:pPr>
      <w:r>
        <w:rPr>
          <w:bCs/>
          <w:iCs/>
        </w:rPr>
        <w:t xml:space="preserve">   2. Center of Biotechnology and Microbiology, University of Peshawar, Pakistan </w:t>
      </w:r>
    </w:p>
    <w:p w:rsidR="003F19AA" w:rsidRDefault="003F19AA">
      <w:pPr>
        <w:spacing w:line="360" w:lineRule="auto"/>
        <w:rPr>
          <w:bCs/>
          <w:iCs/>
        </w:rPr>
      </w:pPr>
      <w:r>
        <w:rPr>
          <w:bCs/>
          <w:iCs/>
        </w:rPr>
        <w:t xml:space="preserve">   3. Veterinary Research Institute, Peshawar</w:t>
      </w:r>
    </w:p>
    <w:p w:rsidR="003F19AA" w:rsidRDefault="003139F8">
      <w:pPr>
        <w:spacing w:line="360" w:lineRule="auto"/>
        <w:rPr>
          <w:bCs/>
          <w:iCs/>
        </w:rPr>
      </w:pPr>
      <w:r>
        <w:rPr>
          <w:bCs/>
          <w:iCs/>
        </w:rPr>
        <w:t>*Corresponding author</w:t>
      </w:r>
      <w:r w:rsidR="003F19AA">
        <w:rPr>
          <w:bCs/>
          <w:iCs/>
        </w:rPr>
        <w:t xml:space="preserve">: </w:t>
      </w:r>
      <w:hyperlink r:id="rId5" w:history="1">
        <w:r w:rsidR="003F19AA">
          <w:rPr>
            <w:rStyle w:val="Hyperlink"/>
            <w:bCs/>
            <w:iCs/>
          </w:rPr>
          <w:t>mubashirbangash@gmail.com</w:t>
        </w:r>
      </w:hyperlink>
      <w:r w:rsidR="003F19AA">
        <w:rPr>
          <w:bCs/>
          <w:iCs/>
        </w:rPr>
        <w:t xml:space="preserve"> , 00923334380950</w:t>
      </w:r>
    </w:p>
    <w:p w:rsidR="003F19AA" w:rsidRDefault="003F19AA"/>
    <w:p w:rsidR="003F19AA" w:rsidRDefault="003F19AA">
      <w:r>
        <w:t>Abstract</w:t>
      </w:r>
    </w:p>
    <w:p w:rsidR="003F19AA" w:rsidRDefault="003F19AA"/>
    <w:p w:rsidR="003F19AA" w:rsidRDefault="003F19AA">
      <w:pPr>
        <w:spacing w:before="280" w:after="280" w:line="360" w:lineRule="auto"/>
        <w:jc w:val="both"/>
        <w:rPr>
          <w:bCs/>
        </w:rPr>
      </w:pPr>
      <w:r>
        <w:t xml:space="preserve">The study was conducted to analyze antibiotic susceptibility patterns of Methicillin Resistant </w:t>
      </w:r>
      <w:r>
        <w:rPr>
          <w:i/>
        </w:rPr>
        <w:t>Staphylococcus aureus</w:t>
      </w:r>
      <w:r>
        <w:t xml:space="preserve"> (MRSA) isolates. A total of 552 different samples were collected from two hospitals of District Kohat, Khyber Pakhtunkhwa, Pakistan. </w:t>
      </w:r>
      <w:r>
        <w:rPr>
          <w:iCs/>
        </w:rPr>
        <w:t>Total</w:t>
      </w:r>
      <w:r>
        <w:t xml:space="preserve"> 434 Staphylococcus strains containing 191 (44 %) MRSA and 243 (56 %) coagulase negative Staphylococcus strains were isolated and identified by using selective media and biochemical tests including catalase, coagulase and DNase tests. Maximum numbers of samples (15.55%) were belonging to surgical ward followed by 14.70 % of total samples from Outdoor Patient Department (OPD). </w:t>
      </w:r>
      <w:r>
        <w:rPr>
          <w:color w:val="1E1F20"/>
        </w:rPr>
        <w:t xml:space="preserve">The highest number of MRSA were isolated form wound swabs (24.08 %) followed by pus samples (21.46 %) while the lowest percentage of MRSA was from High Vaginal Swab (3.14 %). </w:t>
      </w:r>
      <w:r>
        <w:t>Kirby-Bauer disc diffusion method was used for antimicrobial susceptibility testin</w:t>
      </w:r>
      <w:r w:rsidR="003139F8">
        <w:rPr>
          <w:color w:val="000000"/>
          <w:spacing w:val="-1"/>
          <w:szCs w:val="22"/>
        </w:rPr>
        <w:t xml:space="preserve">g. All the 191 MRSA </w:t>
      </w:r>
      <w:r>
        <w:rPr>
          <w:color w:val="000000"/>
          <w:spacing w:val="-1"/>
          <w:szCs w:val="22"/>
        </w:rPr>
        <w:t>strains isola</w:t>
      </w:r>
      <w:r w:rsidR="003139F8">
        <w:rPr>
          <w:color w:val="000000"/>
          <w:spacing w:val="-1"/>
          <w:szCs w:val="22"/>
        </w:rPr>
        <w:t>ted from two hospitals of Kohat were resistant</w:t>
      </w:r>
      <w:r>
        <w:rPr>
          <w:color w:val="000000"/>
          <w:spacing w:val="-1"/>
          <w:szCs w:val="22"/>
        </w:rPr>
        <w:t xml:space="preserve"> to</w:t>
      </w:r>
      <w:r w:rsidR="003139F8">
        <w:rPr>
          <w:szCs w:val="20"/>
        </w:rPr>
        <w:t xml:space="preserve"> </w:t>
      </w:r>
      <w:r w:rsidR="003A6E94">
        <w:rPr>
          <w:szCs w:val="20"/>
        </w:rPr>
        <w:t>a</w:t>
      </w:r>
      <w:r>
        <w:rPr>
          <w:szCs w:val="20"/>
        </w:rPr>
        <w:t>moxycillin</w:t>
      </w:r>
      <w:r w:rsidR="003A6E94">
        <w:rPr>
          <w:color w:val="000000"/>
          <w:spacing w:val="-1"/>
          <w:szCs w:val="22"/>
        </w:rPr>
        <w:t xml:space="preserve"> (100%), followed by c</w:t>
      </w:r>
      <w:r w:rsidR="003139F8">
        <w:rPr>
          <w:color w:val="000000"/>
          <w:spacing w:val="-1"/>
          <w:szCs w:val="22"/>
        </w:rPr>
        <w:t xml:space="preserve">efotaxime </w:t>
      </w:r>
      <w:r>
        <w:rPr>
          <w:color w:val="000000"/>
          <w:spacing w:val="-1"/>
          <w:szCs w:val="22"/>
        </w:rPr>
        <w:t>(76.43 %),</w:t>
      </w:r>
      <w:r>
        <w:rPr>
          <w:szCs w:val="20"/>
        </w:rPr>
        <w:t xml:space="preserve"> </w:t>
      </w:r>
      <w:r w:rsidR="003A6E94">
        <w:rPr>
          <w:color w:val="000000"/>
          <w:spacing w:val="-1"/>
          <w:szCs w:val="22"/>
        </w:rPr>
        <w:t>ofloxacin (74 %), l</w:t>
      </w:r>
      <w:r w:rsidR="003139F8">
        <w:rPr>
          <w:color w:val="000000"/>
          <w:spacing w:val="-1"/>
          <w:szCs w:val="22"/>
        </w:rPr>
        <w:t xml:space="preserve">evofloxacin </w:t>
      </w:r>
      <w:r>
        <w:rPr>
          <w:color w:val="000000"/>
          <w:spacing w:val="-1"/>
          <w:szCs w:val="22"/>
        </w:rPr>
        <w:t>(70.</w:t>
      </w:r>
      <w:r w:rsidR="003A6E94">
        <w:rPr>
          <w:color w:val="000000"/>
          <w:spacing w:val="-1"/>
          <w:szCs w:val="22"/>
        </w:rPr>
        <w:t>15 %), erythromycin (69.10 %) and c</w:t>
      </w:r>
      <w:r w:rsidR="003139F8">
        <w:rPr>
          <w:color w:val="000000"/>
          <w:spacing w:val="-1"/>
          <w:szCs w:val="22"/>
        </w:rPr>
        <w:t xml:space="preserve">hloramphenicol (34.03 %). </w:t>
      </w:r>
      <w:r>
        <w:rPr>
          <w:color w:val="000000"/>
          <w:spacing w:val="-1"/>
          <w:szCs w:val="22"/>
        </w:rPr>
        <w:t>Highest sensit</w:t>
      </w:r>
      <w:r w:rsidR="003139F8">
        <w:rPr>
          <w:color w:val="000000"/>
          <w:spacing w:val="-1"/>
          <w:szCs w:val="22"/>
        </w:rPr>
        <w:t>ivity was found against Vancomyc</w:t>
      </w:r>
      <w:r>
        <w:rPr>
          <w:color w:val="000000"/>
          <w:spacing w:val="-1"/>
          <w:szCs w:val="22"/>
        </w:rPr>
        <w:t xml:space="preserve">in (99.55 %). Thus, high prevalence and multi drug resistance pattern was found in MRSA isolates </w:t>
      </w:r>
      <w:r>
        <w:rPr>
          <w:color w:val="000000"/>
          <w:spacing w:val="-1"/>
          <w:szCs w:val="22"/>
        </w:rPr>
        <w:lastRenderedPageBreak/>
        <w:t>from two different hospitals of Kohat district, Pakistan, thus presenting a major health concern.</w:t>
      </w:r>
    </w:p>
    <w:p w:rsidR="003F19AA" w:rsidRDefault="003F19AA">
      <w:pPr>
        <w:rPr>
          <w:bCs/>
        </w:rPr>
      </w:pPr>
    </w:p>
    <w:p w:rsidR="003F19AA" w:rsidRDefault="003F19AA">
      <w:pPr>
        <w:pStyle w:val="Heading2"/>
      </w:pPr>
      <w:r>
        <w:t>Introduction</w:t>
      </w:r>
    </w:p>
    <w:p w:rsidR="003F19AA" w:rsidRDefault="003F19AA">
      <w:pPr>
        <w:autoSpaceDE w:val="0"/>
        <w:autoSpaceDN w:val="0"/>
        <w:adjustRightInd w:val="0"/>
        <w:spacing w:before="100" w:beforeAutospacing="1" w:after="100" w:afterAutospacing="1" w:line="360" w:lineRule="auto"/>
        <w:jc w:val="both"/>
        <w:rPr>
          <w:bCs/>
          <w:color w:val="000000"/>
        </w:rPr>
      </w:pPr>
      <w:r>
        <w:rPr>
          <w:i/>
        </w:rPr>
        <w:t>Staphylococcus aureus</w:t>
      </w:r>
      <w:r>
        <w:rPr>
          <w:iCs/>
        </w:rPr>
        <w:t xml:space="preserve"> is well known</w:t>
      </w:r>
      <w:r>
        <w:t xml:space="preserve"> for its pathogenecity for humans and other animals (Persoons </w:t>
      </w:r>
      <w:r w:rsidR="001F22C1" w:rsidRPr="001F22C1">
        <w:t>et al.,</w:t>
      </w:r>
      <w:r>
        <w:t xml:space="preserve"> 2009, </w:t>
      </w:r>
      <w:r>
        <w:rPr>
          <w:bCs/>
        </w:rPr>
        <w:t>Milyani and Ashy, 2012)</w:t>
      </w:r>
      <w:r>
        <w:t xml:space="preserve">. </w:t>
      </w:r>
      <w:r>
        <w:rPr>
          <w:i/>
        </w:rPr>
        <w:t>S. aureus</w:t>
      </w:r>
      <w:r>
        <w:t xml:space="preserve"> cause</w:t>
      </w:r>
      <w:r w:rsidR="003139F8">
        <w:t>s</w:t>
      </w:r>
      <w:r>
        <w:t xml:space="preserve"> infections ranging from minor skin infections and abscesses to life threatening cases including toxic shock syndrome, meningitis, endocarditis, pneumonia and septicemia </w:t>
      </w:r>
      <w:r>
        <w:rPr>
          <w:b/>
          <w:bCs/>
          <w:color w:val="231F20"/>
        </w:rPr>
        <w:t>(</w:t>
      </w:r>
      <w:r>
        <w:rPr>
          <w:bCs/>
        </w:rPr>
        <w:t xml:space="preserve">Enright </w:t>
      </w:r>
      <w:r w:rsidR="001F22C1" w:rsidRPr="001F22C1">
        <w:rPr>
          <w:bCs/>
        </w:rPr>
        <w:t>et al.,</w:t>
      </w:r>
      <w:r>
        <w:rPr>
          <w:bCs/>
        </w:rPr>
        <w:t xml:space="preserve"> 2002; Ho </w:t>
      </w:r>
      <w:r w:rsidR="001F22C1" w:rsidRPr="001F22C1">
        <w:rPr>
          <w:bCs/>
        </w:rPr>
        <w:t>et al.,</w:t>
      </w:r>
      <w:r>
        <w:rPr>
          <w:bCs/>
        </w:rPr>
        <w:t xml:space="preserve"> 1989).</w:t>
      </w:r>
      <w:r>
        <w:t xml:space="preserve"> The</w:t>
      </w:r>
      <w:r>
        <w:rPr>
          <w:color w:val="231F20"/>
        </w:rPr>
        <w:t xml:space="preserve"> resistance pattern of </w:t>
      </w:r>
      <w:r w:rsidRPr="003A6E94">
        <w:rPr>
          <w:i/>
          <w:color w:val="231F20"/>
        </w:rPr>
        <w:t>S. aureus</w:t>
      </w:r>
      <w:r>
        <w:rPr>
          <w:color w:val="231F20"/>
        </w:rPr>
        <w:t xml:space="preserve"> against a number of antimicrobial agents also varies. Methicillin Resistant </w:t>
      </w:r>
      <w:r>
        <w:rPr>
          <w:i/>
          <w:color w:val="231F20"/>
        </w:rPr>
        <w:t>Staphylococcus aureus</w:t>
      </w:r>
      <w:r>
        <w:rPr>
          <w:color w:val="231F20"/>
        </w:rPr>
        <w:t xml:space="preserve"> </w:t>
      </w:r>
      <w:r w:rsidR="003D4AF5">
        <w:rPr>
          <w:color w:val="231F20"/>
        </w:rPr>
        <w:t>(MRSA) is usually resistant to m</w:t>
      </w:r>
      <w:r>
        <w:rPr>
          <w:color w:val="231F20"/>
        </w:rPr>
        <w:t xml:space="preserve">ethicillin while strains of </w:t>
      </w:r>
      <w:r>
        <w:rPr>
          <w:i/>
          <w:color w:val="231F20"/>
        </w:rPr>
        <w:t>S. aureus</w:t>
      </w:r>
      <w:r w:rsidR="003A6E94">
        <w:rPr>
          <w:color w:val="231F20"/>
        </w:rPr>
        <w:t xml:space="preserve"> show resistance</w:t>
      </w:r>
      <w:r>
        <w:rPr>
          <w:color w:val="231F20"/>
        </w:rPr>
        <w:t xml:space="preserve"> to multiple antibiotics as </w:t>
      </w:r>
      <w:r w:rsidR="003A6E94">
        <w:t>gentamicin, norfloxacin, fucidic acid, erythromyc</w:t>
      </w:r>
      <w:r>
        <w:t xml:space="preserve">in and clindamycin (Shai </w:t>
      </w:r>
      <w:r w:rsidR="001F22C1" w:rsidRPr="001F22C1">
        <w:t>et al.,</w:t>
      </w:r>
      <w:r>
        <w:t xml:space="preserve"> 2004). Initially, penicillin was used against </w:t>
      </w:r>
      <w:r>
        <w:rPr>
          <w:i/>
        </w:rPr>
        <w:t>S. aureus</w:t>
      </w:r>
      <w:r>
        <w:t xml:space="preserve"> but it</w:t>
      </w:r>
      <w:r>
        <w:rPr>
          <w:i/>
        </w:rPr>
        <w:t xml:space="preserve"> </w:t>
      </w:r>
      <w:r>
        <w:t xml:space="preserve">became resistant to penicillin due to the production of enzyme ß-lactamase. Strains of MRSA emerged soon after using ß-lactamase-stable penicillin-derived methicillin for </w:t>
      </w:r>
      <w:r>
        <w:rPr>
          <w:i/>
        </w:rPr>
        <w:t xml:space="preserve">S. aureus </w:t>
      </w:r>
      <w:r>
        <w:t xml:space="preserve">(Samia </w:t>
      </w:r>
      <w:r w:rsidR="001F22C1" w:rsidRPr="001F22C1">
        <w:t>et al.,</w:t>
      </w:r>
      <w:r>
        <w:t xml:space="preserve"> 2007). Infections caused by resistant MRSA is a prominent threat to animal’s and human’s health (Yao </w:t>
      </w:r>
      <w:r w:rsidR="001F22C1" w:rsidRPr="001F22C1">
        <w:t>et al.,</w:t>
      </w:r>
      <w:r>
        <w:t xml:space="preserve"> 2010; Persoons </w:t>
      </w:r>
      <w:r w:rsidR="001F22C1" w:rsidRPr="001F22C1">
        <w:t>et al.,</w:t>
      </w:r>
      <w:r>
        <w:t xml:space="preserve"> 2009, Shai </w:t>
      </w:r>
      <w:r w:rsidR="001F22C1" w:rsidRPr="001F22C1">
        <w:t>et al.,</w:t>
      </w:r>
      <w:r>
        <w:t xml:space="preserve"> 2004). </w:t>
      </w:r>
      <w:r>
        <w:rPr>
          <w:color w:val="000000"/>
        </w:rPr>
        <w:t xml:space="preserve">MRSA infection has also been reported in different animal species; sheep, goat, cows, dogs </w:t>
      </w:r>
      <w:r>
        <w:rPr>
          <w:bCs/>
          <w:color w:val="000000"/>
        </w:rPr>
        <w:t>(</w:t>
      </w:r>
      <w:r>
        <w:rPr>
          <w:bCs/>
        </w:rPr>
        <w:t>Bassim and El-Maghraby, 2005</w:t>
      </w:r>
      <w:r>
        <w:rPr>
          <w:bCs/>
          <w:color w:val="000000"/>
        </w:rPr>
        <w:t xml:space="preserve">) </w:t>
      </w:r>
      <w:r>
        <w:rPr>
          <w:color w:val="000000"/>
        </w:rPr>
        <w:t xml:space="preserve">and hospitalized horses </w:t>
      </w:r>
      <w:r>
        <w:rPr>
          <w:bCs/>
          <w:color w:val="000000"/>
        </w:rPr>
        <w:t>(</w:t>
      </w:r>
      <w:r>
        <w:rPr>
          <w:bCs/>
        </w:rPr>
        <w:t xml:space="preserve">Hartmann </w:t>
      </w:r>
      <w:r w:rsidR="001F22C1" w:rsidRPr="001F22C1">
        <w:rPr>
          <w:bCs/>
        </w:rPr>
        <w:t>et al.,</w:t>
      </w:r>
      <w:r>
        <w:rPr>
          <w:bCs/>
        </w:rPr>
        <w:t xml:space="preserve"> 1997</w:t>
      </w:r>
      <w:r>
        <w:rPr>
          <w:bCs/>
          <w:color w:val="000000"/>
        </w:rPr>
        <w:t xml:space="preserve">) </w:t>
      </w:r>
    </w:p>
    <w:p w:rsidR="003F19AA" w:rsidRDefault="003F19AA">
      <w:pPr>
        <w:autoSpaceDE w:val="0"/>
        <w:autoSpaceDN w:val="0"/>
        <w:adjustRightInd w:val="0"/>
        <w:spacing w:before="100" w:beforeAutospacing="1" w:after="100" w:afterAutospacing="1" w:line="360" w:lineRule="auto"/>
        <w:jc w:val="both"/>
      </w:pPr>
      <w:r>
        <w:rPr>
          <w:color w:val="000000"/>
        </w:rPr>
        <w:t xml:space="preserve">Hospital associated-methicillin resistant </w:t>
      </w:r>
      <w:r>
        <w:rPr>
          <w:i/>
          <w:color w:val="000000"/>
        </w:rPr>
        <w:t>Staphylococcus aureus</w:t>
      </w:r>
      <w:r>
        <w:rPr>
          <w:color w:val="000000"/>
        </w:rPr>
        <w:t xml:space="preserve"> (HA-MRSA) and community associated-Methicillin-Resistant </w:t>
      </w:r>
      <w:r>
        <w:rPr>
          <w:i/>
          <w:color w:val="000000"/>
        </w:rPr>
        <w:t>Staphylococcus aureus</w:t>
      </w:r>
      <w:r>
        <w:rPr>
          <w:color w:val="000000"/>
        </w:rPr>
        <w:t xml:space="preserve"> (CA-MRSA) are two broad categories of MRSA that present a persistent challenge to clin</w:t>
      </w:r>
      <w:r w:rsidR="00073220">
        <w:rPr>
          <w:color w:val="000000"/>
        </w:rPr>
        <w:t>icians recently. Strains of CA-</w:t>
      </w:r>
      <w:r>
        <w:rPr>
          <w:color w:val="000000"/>
        </w:rPr>
        <w:t>MRSA developed from a com</w:t>
      </w:r>
      <w:r w:rsidR="00073220">
        <w:rPr>
          <w:color w:val="000000"/>
        </w:rPr>
        <w:t xml:space="preserve">munity (population or habitat) </w:t>
      </w:r>
      <w:r>
        <w:rPr>
          <w:color w:val="000000"/>
        </w:rPr>
        <w:t xml:space="preserve">while the </w:t>
      </w:r>
      <w:r>
        <w:t>HA-MRSA include emergence of MRSA from the patient having current or recent hospitalization, receives dialysis, or resides in a long-term care facility (</w:t>
      </w:r>
      <w:r>
        <w:rPr>
          <w:bCs/>
        </w:rPr>
        <w:t>Milyani and Ashy, 2012)</w:t>
      </w:r>
      <w:r>
        <w:t xml:space="preserve">. MRSA has become a leading cause of nosocomial infections worldwide since the first European isolate of MRSA, detected in 1960s (Lowy, 1998; Tristan </w:t>
      </w:r>
      <w:r w:rsidR="001F22C1" w:rsidRPr="001F22C1">
        <w:t>et al.,</w:t>
      </w:r>
      <w:r>
        <w:t xml:space="preserve"> 2007). During the period 1970 to 2010, MRSA strains were increasingly responsible for outbreaks of hospital acquired infections around the world, like in Saudi Arabia (Madani </w:t>
      </w:r>
      <w:r w:rsidR="001F22C1" w:rsidRPr="001F22C1">
        <w:t>et al.,</w:t>
      </w:r>
      <w:r>
        <w:t xml:space="preserve"> 2001), Austria (</w:t>
      </w:r>
      <w:r>
        <w:rPr>
          <w:bCs/>
        </w:rPr>
        <w:t>Krziwanek</w:t>
      </w:r>
      <w:r>
        <w:t xml:space="preserve"> </w:t>
      </w:r>
      <w:r w:rsidR="001F22C1" w:rsidRPr="001F22C1">
        <w:t>et al.,</w:t>
      </w:r>
      <w:r>
        <w:t xml:space="preserve"> 2009), Argentina (Reyes </w:t>
      </w:r>
      <w:r w:rsidR="001F22C1" w:rsidRPr="001F22C1">
        <w:t>et al.,</w:t>
      </w:r>
      <w:r>
        <w:t xml:space="preserve"> 2009), South </w:t>
      </w:r>
      <w:r>
        <w:lastRenderedPageBreak/>
        <w:t xml:space="preserve">Africa (Shittu </w:t>
      </w:r>
      <w:r w:rsidR="001F22C1" w:rsidRPr="001F22C1">
        <w:t>et al.,</w:t>
      </w:r>
      <w:r>
        <w:t xml:space="preserve"> 2009), Italy (Soavi </w:t>
      </w:r>
      <w:r w:rsidR="001F22C1" w:rsidRPr="001F22C1">
        <w:t>et al.,</w:t>
      </w:r>
      <w:r>
        <w:t xml:space="preserve"> 2010). These outbreaks were frequently associated with neonatal, intensive care and burns units (Liu </w:t>
      </w:r>
      <w:r w:rsidR="001F22C1" w:rsidRPr="001F22C1">
        <w:t>et al.,</w:t>
      </w:r>
      <w:r>
        <w:t xml:space="preserve"> 2011). </w:t>
      </w:r>
    </w:p>
    <w:p w:rsidR="003F19AA" w:rsidRDefault="003F19AA">
      <w:pPr>
        <w:autoSpaceDE w:val="0"/>
        <w:autoSpaceDN w:val="0"/>
        <w:adjustRightInd w:val="0"/>
        <w:spacing w:before="100" w:beforeAutospacing="1" w:after="100" w:afterAutospacing="1" w:line="360" w:lineRule="auto"/>
        <w:jc w:val="both"/>
        <w:rPr>
          <w:color w:val="000000"/>
        </w:rPr>
      </w:pPr>
      <w:r>
        <w:t xml:space="preserve">In developing countries like Pakistan antibiotic resistant bacteria are </w:t>
      </w:r>
      <w:r w:rsidR="00741DDA">
        <w:t>persistent challen</w:t>
      </w:r>
      <w:r>
        <w:t xml:space="preserve">ge and difficult to control because of irrational use of antibiotics. There was scarce data regarding MRSA in Khyber Pakhtunkhwa province of Pakistan. The present study was conducted for the first time </w:t>
      </w:r>
      <w:r>
        <w:rPr>
          <w:color w:val="000000"/>
        </w:rPr>
        <w:t xml:space="preserve">to investigate the antibiotic susceptibility profiles of MRSA in two Government hospitals of a remote district Kohat that are Liaqat Memorial hospital and District Head Quarter (DHQ) hospital, Kohat Developmental Authority (KDA) hospital of district Kohat, Pakistan. </w:t>
      </w:r>
    </w:p>
    <w:p w:rsidR="003F19AA" w:rsidRDefault="003F19AA">
      <w:pPr>
        <w:autoSpaceDE w:val="0"/>
        <w:autoSpaceDN w:val="0"/>
        <w:adjustRightInd w:val="0"/>
        <w:spacing w:before="100" w:beforeAutospacing="1" w:after="100" w:afterAutospacing="1" w:line="360" w:lineRule="auto"/>
        <w:jc w:val="both"/>
        <w:rPr>
          <w:b/>
          <w:bCs/>
          <w:color w:val="000000"/>
        </w:rPr>
      </w:pPr>
      <w:r>
        <w:rPr>
          <w:b/>
          <w:bCs/>
          <w:color w:val="000000"/>
        </w:rPr>
        <w:t>Materials and methods</w:t>
      </w:r>
    </w:p>
    <w:p w:rsidR="003F19AA" w:rsidRDefault="003F19AA">
      <w:pPr>
        <w:pStyle w:val="Heading1"/>
      </w:pPr>
      <w:r>
        <w:t>Sampling</w:t>
      </w:r>
    </w:p>
    <w:p w:rsidR="003F19AA" w:rsidRDefault="003F19AA">
      <w:pPr>
        <w:autoSpaceDE w:val="0"/>
        <w:autoSpaceDN w:val="0"/>
        <w:adjustRightInd w:val="0"/>
        <w:spacing w:before="100" w:after="100" w:line="360" w:lineRule="auto"/>
        <w:jc w:val="both"/>
        <w:rPr>
          <w:lang/>
        </w:rPr>
      </w:pPr>
      <w:r>
        <w:rPr>
          <w:lang/>
        </w:rPr>
        <w:t xml:space="preserve">The study was carried out from January 2012 to December 2012. Total 552 samples were collected from </w:t>
      </w:r>
      <w:r>
        <w:rPr>
          <w:color w:val="000000"/>
        </w:rPr>
        <w:t xml:space="preserve">Liaqat Memorial hospital and DHQ hospital KDA district Kohat (Khyber Pakhtunkhwa) </w:t>
      </w:r>
      <w:r>
        <w:rPr>
          <w:lang/>
        </w:rPr>
        <w:t xml:space="preserve">Pakistan. These samples were collected from different wards (OPD, ENT, Medical, Burns, Orthopedic, Surgical, Children, </w:t>
      </w:r>
      <w:r w:rsidR="0016253E">
        <w:rPr>
          <w:lang/>
        </w:rPr>
        <w:t>Gynaecological ward</w:t>
      </w:r>
      <w:r>
        <w:rPr>
          <w:lang/>
        </w:rPr>
        <w:t xml:space="preserve"> and Main Operation Theater). These samples included the samples of blood, pus, wound swabs, throat swabs, sputum, High Vaginal Swab (HVS) and urine samples. The samples were labeled ac</w:t>
      </w:r>
      <w:r w:rsidR="00095C21">
        <w:rPr>
          <w:lang/>
        </w:rPr>
        <w:t>cordingly and were subjected to</w:t>
      </w:r>
      <w:r>
        <w:rPr>
          <w:lang/>
        </w:rPr>
        <w:t xml:space="preserve"> screening of </w:t>
      </w:r>
      <w:r>
        <w:rPr>
          <w:i/>
          <w:iCs/>
          <w:lang/>
        </w:rPr>
        <w:t>Staphylococcus aureus</w:t>
      </w:r>
      <w:r>
        <w:rPr>
          <w:lang/>
        </w:rPr>
        <w:t xml:space="preserve"> in Microbiology Laboratory at Department of Microbiology, Kohat University of Science and Technology, Kohat, Pakistan.</w:t>
      </w:r>
    </w:p>
    <w:p w:rsidR="003F19AA" w:rsidRDefault="003F19AA">
      <w:pPr>
        <w:pStyle w:val="Heading1"/>
      </w:pPr>
      <w:r>
        <w:t xml:space="preserve">Isolation of </w:t>
      </w:r>
      <w:r w:rsidRPr="004D3AFF">
        <w:rPr>
          <w:i/>
        </w:rPr>
        <w:t>S.</w:t>
      </w:r>
      <w:r w:rsidR="004D3AFF">
        <w:rPr>
          <w:i/>
        </w:rPr>
        <w:t xml:space="preserve"> </w:t>
      </w:r>
      <w:r w:rsidRPr="004D3AFF">
        <w:rPr>
          <w:i/>
        </w:rPr>
        <w:t>aureus</w:t>
      </w:r>
      <w:r>
        <w:t xml:space="preserve"> from clinical samples</w:t>
      </w:r>
    </w:p>
    <w:p w:rsidR="003F19AA" w:rsidRDefault="003F19AA">
      <w:pPr>
        <w:autoSpaceDE w:val="0"/>
        <w:autoSpaceDN w:val="0"/>
        <w:adjustRightInd w:val="0"/>
        <w:spacing w:before="100" w:after="100" w:line="360" w:lineRule="auto"/>
        <w:jc w:val="both"/>
      </w:pPr>
      <w:r>
        <w:t>Mannitol Salt Agar (MSA) (Oxoid, UK) was used for inoculation of samples. Media was prepared according to manufacturer’s standard protocol. Media along with all required glassware were autoclaved at 121</w:t>
      </w:r>
      <w:r>
        <w:rPr>
          <w:vertAlign w:val="superscript"/>
        </w:rPr>
        <w:t>o</w:t>
      </w:r>
      <w:r>
        <w:t>C for 20 minutes at 15</w:t>
      </w:r>
      <w:r w:rsidR="004D3AFF">
        <w:t xml:space="preserve"> </w:t>
      </w:r>
      <w:r>
        <w:t xml:space="preserve">psi. The identification of </w:t>
      </w:r>
      <w:r w:rsidRPr="004D3AFF">
        <w:rPr>
          <w:i/>
        </w:rPr>
        <w:t>S. aureus</w:t>
      </w:r>
      <w:r>
        <w:t xml:space="preserve"> was performed on the basis of tests like Gram staining reaction, catalase, coagulase and Dnase tests according to standard protocols as described earlier. Isolates positive for these tests were considered as </w:t>
      </w:r>
      <w:r w:rsidRPr="004D3AFF">
        <w:rPr>
          <w:i/>
        </w:rPr>
        <w:t>S. aureus</w:t>
      </w:r>
      <w:r>
        <w:t xml:space="preserve">. </w:t>
      </w:r>
    </w:p>
    <w:p w:rsidR="003F19AA" w:rsidRDefault="003F19AA">
      <w:pPr>
        <w:pStyle w:val="Heading3"/>
      </w:pPr>
      <w:r>
        <w:lastRenderedPageBreak/>
        <w:t>MRSA screening</w:t>
      </w:r>
    </w:p>
    <w:p w:rsidR="003F19AA" w:rsidRDefault="003F19AA">
      <w:pPr>
        <w:autoSpaceDE w:val="0"/>
        <w:autoSpaceDN w:val="0"/>
        <w:adjustRightInd w:val="0"/>
        <w:spacing w:before="100" w:after="100" w:line="360" w:lineRule="auto"/>
        <w:jc w:val="both"/>
        <w:rPr>
          <w:szCs w:val="22"/>
          <w:lang/>
        </w:rPr>
      </w:pPr>
      <w:r>
        <w:rPr>
          <w:szCs w:val="22"/>
          <w:lang/>
        </w:rPr>
        <w:t xml:space="preserve">Oxacillin was used to screen </w:t>
      </w:r>
      <w:r w:rsidRPr="004D3AFF">
        <w:rPr>
          <w:i/>
          <w:szCs w:val="22"/>
          <w:lang/>
        </w:rPr>
        <w:t>S. aureus</w:t>
      </w:r>
      <w:r w:rsidR="004D3AFF">
        <w:rPr>
          <w:szCs w:val="22"/>
          <w:lang/>
        </w:rPr>
        <w:t xml:space="preserve"> isolates for presence of methi</w:t>
      </w:r>
      <w:r>
        <w:rPr>
          <w:szCs w:val="22"/>
          <w:lang/>
        </w:rPr>
        <w:t xml:space="preserve">cillin resistance. Briefly, each isolate was streaked on surface of Muller-Hinton agar (Oxoid UK) containing 6 </w:t>
      </w:r>
      <w:r>
        <w:rPr>
          <w:color w:val="000000"/>
          <w:spacing w:val="-1"/>
          <w:sz w:val="22"/>
          <w:szCs w:val="22"/>
        </w:rPr>
        <w:t>µg</w:t>
      </w:r>
      <w:r>
        <w:rPr>
          <w:szCs w:val="22"/>
          <w:lang/>
        </w:rPr>
        <w:t xml:space="preserve">/ml of oxacillin and incubated at 37 </w:t>
      </w:r>
      <w:r w:rsidR="004D3AFF">
        <w:rPr>
          <w:szCs w:val="22"/>
          <w:lang/>
        </w:rPr>
        <w:t>°</w:t>
      </w:r>
      <w:r>
        <w:rPr>
          <w:szCs w:val="22"/>
          <w:lang/>
        </w:rPr>
        <w:t>C for 24 hours. Isolates showing growth on this media were preserved and labelled as MRSA for further studies.</w:t>
      </w:r>
    </w:p>
    <w:p w:rsidR="003F19AA" w:rsidRDefault="003F19AA">
      <w:pPr>
        <w:pStyle w:val="Heading1"/>
        <w:rPr>
          <w:b w:val="0"/>
          <w:bCs w:val="0"/>
          <w:i/>
          <w:iCs/>
        </w:rPr>
      </w:pPr>
      <w:r>
        <w:t>Anti-biogram Assay</w:t>
      </w:r>
    </w:p>
    <w:p w:rsidR="003F19AA" w:rsidRDefault="003F19AA">
      <w:pPr>
        <w:autoSpaceDE w:val="0"/>
        <w:autoSpaceDN w:val="0"/>
        <w:adjustRightInd w:val="0"/>
        <w:spacing w:before="100" w:after="100" w:line="360" w:lineRule="auto"/>
        <w:jc w:val="both"/>
        <w:rPr>
          <w:lang/>
        </w:rPr>
      </w:pPr>
      <w:r>
        <w:rPr>
          <w:lang/>
        </w:rPr>
        <w:t xml:space="preserve">The Kirby-Bauer disc diffusion method was adopted to evaluate the antimicrobial susceptibility pattern of the MRSA isolates against different commonly used antibiotics. </w:t>
      </w:r>
      <w:r>
        <w:rPr>
          <w:bCs/>
        </w:rPr>
        <w:t xml:space="preserve">Amoxicillin </w:t>
      </w:r>
      <w:r>
        <w:rPr>
          <w:color w:val="000000"/>
          <w:spacing w:val="-1"/>
          <w:sz w:val="22"/>
          <w:szCs w:val="22"/>
        </w:rPr>
        <w:t>(60 µg)</w:t>
      </w:r>
      <w:r>
        <w:rPr>
          <w:bCs/>
        </w:rPr>
        <w:t xml:space="preserve">, cefotaxime </w:t>
      </w:r>
      <w:r>
        <w:rPr>
          <w:color w:val="000000"/>
          <w:spacing w:val="-1"/>
          <w:sz w:val="22"/>
          <w:szCs w:val="22"/>
        </w:rPr>
        <w:t>(20 µg)</w:t>
      </w:r>
      <w:r>
        <w:rPr>
          <w:bCs/>
        </w:rPr>
        <w:t xml:space="preserve">, cephradin </w:t>
      </w:r>
      <w:r>
        <w:rPr>
          <w:color w:val="000000"/>
          <w:spacing w:val="-1"/>
          <w:sz w:val="22"/>
          <w:szCs w:val="22"/>
        </w:rPr>
        <w:t>(30 µg)</w:t>
      </w:r>
      <w:r>
        <w:rPr>
          <w:color w:val="000000"/>
        </w:rPr>
        <w:t xml:space="preserve">, chloramphenicol </w:t>
      </w:r>
      <w:r>
        <w:rPr>
          <w:color w:val="000000"/>
          <w:spacing w:val="-1"/>
          <w:sz w:val="22"/>
          <w:szCs w:val="22"/>
        </w:rPr>
        <w:t>(30 µg)</w:t>
      </w:r>
      <w:r>
        <w:rPr>
          <w:color w:val="000000"/>
        </w:rPr>
        <w:t xml:space="preserve">, ciprofloxacin </w:t>
      </w:r>
      <w:r>
        <w:rPr>
          <w:color w:val="000000"/>
          <w:spacing w:val="-1"/>
          <w:sz w:val="22"/>
          <w:szCs w:val="22"/>
        </w:rPr>
        <w:t>(5 µg)</w:t>
      </w:r>
      <w:r>
        <w:rPr>
          <w:color w:val="000000"/>
        </w:rPr>
        <w:t>, doxycyclin</w:t>
      </w:r>
      <w:r w:rsidR="00DD0347">
        <w:rPr>
          <w:color w:val="000000"/>
        </w:rPr>
        <w:t>e</w:t>
      </w:r>
      <w:r>
        <w:rPr>
          <w:color w:val="000000"/>
        </w:rPr>
        <w:t xml:space="preserve"> </w:t>
      </w:r>
      <w:r>
        <w:rPr>
          <w:color w:val="000000"/>
          <w:spacing w:val="-1"/>
          <w:sz w:val="22"/>
          <w:szCs w:val="22"/>
        </w:rPr>
        <w:t>(1µg)</w:t>
      </w:r>
      <w:r>
        <w:rPr>
          <w:color w:val="000000"/>
        </w:rPr>
        <w:t xml:space="preserve">, gentamicin </w:t>
      </w:r>
      <w:r>
        <w:rPr>
          <w:color w:val="000000"/>
          <w:spacing w:val="-1"/>
          <w:sz w:val="22"/>
          <w:szCs w:val="22"/>
        </w:rPr>
        <w:t>(10 µg)</w:t>
      </w:r>
      <w:r>
        <w:rPr>
          <w:color w:val="000000"/>
        </w:rPr>
        <w:t xml:space="preserve">, levofloxacin </w:t>
      </w:r>
      <w:r>
        <w:rPr>
          <w:color w:val="000000"/>
          <w:spacing w:val="-1"/>
          <w:sz w:val="22"/>
          <w:szCs w:val="22"/>
        </w:rPr>
        <w:t>(5µg)</w:t>
      </w:r>
      <w:r>
        <w:rPr>
          <w:color w:val="000000"/>
        </w:rPr>
        <w:t xml:space="preserve">, ofloxacin </w:t>
      </w:r>
      <w:r>
        <w:rPr>
          <w:color w:val="000000"/>
          <w:spacing w:val="-1"/>
          <w:sz w:val="22"/>
          <w:szCs w:val="22"/>
        </w:rPr>
        <w:t>(10 µg)</w:t>
      </w:r>
      <w:r>
        <w:rPr>
          <w:color w:val="000000"/>
        </w:rPr>
        <w:t xml:space="preserve">, sparfloxacin </w:t>
      </w:r>
      <w:r>
        <w:rPr>
          <w:color w:val="000000"/>
          <w:spacing w:val="-1"/>
          <w:sz w:val="22"/>
          <w:szCs w:val="22"/>
        </w:rPr>
        <w:t>(20 µg)</w:t>
      </w:r>
      <w:r>
        <w:rPr>
          <w:color w:val="000000"/>
        </w:rPr>
        <w:t xml:space="preserve">, norfloxacin </w:t>
      </w:r>
      <w:r>
        <w:rPr>
          <w:color w:val="000000"/>
          <w:spacing w:val="-1"/>
          <w:sz w:val="22"/>
          <w:szCs w:val="22"/>
        </w:rPr>
        <w:t>(5 µg)</w:t>
      </w:r>
      <w:r w:rsidR="00DD0347">
        <w:rPr>
          <w:color w:val="000000"/>
        </w:rPr>
        <w:t xml:space="preserve"> and v</w:t>
      </w:r>
      <w:r>
        <w:rPr>
          <w:color w:val="000000"/>
        </w:rPr>
        <w:t xml:space="preserve">ancomycin </w:t>
      </w:r>
      <w:r>
        <w:rPr>
          <w:color w:val="000000"/>
          <w:spacing w:val="-1"/>
          <w:sz w:val="22"/>
          <w:szCs w:val="22"/>
        </w:rPr>
        <w:t>(30 µg)</w:t>
      </w:r>
      <w:r w:rsidR="008B3D80">
        <w:rPr>
          <w:color w:val="000000"/>
          <w:spacing w:val="-1"/>
          <w:sz w:val="22"/>
          <w:szCs w:val="22"/>
        </w:rPr>
        <w:t>,</w:t>
      </w:r>
      <w:r>
        <w:rPr>
          <w:color w:val="000000"/>
          <w:spacing w:val="-1"/>
          <w:sz w:val="22"/>
          <w:szCs w:val="22"/>
        </w:rPr>
        <w:t xml:space="preserve"> Oxoid UK</w:t>
      </w:r>
      <w:r w:rsidR="008B3D80">
        <w:rPr>
          <w:color w:val="000000"/>
          <w:spacing w:val="-1"/>
          <w:sz w:val="22"/>
          <w:szCs w:val="22"/>
        </w:rPr>
        <w:t>,</w:t>
      </w:r>
      <w:r>
        <w:rPr>
          <w:color w:val="000000"/>
          <w:spacing w:val="-1"/>
          <w:sz w:val="22"/>
          <w:szCs w:val="22"/>
        </w:rPr>
        <w:t xml:space="preserve"> were used in</w:t>
      </w:r>
      <w:r w:rsidR="008B3D80">
        <w:rPr>
          <w:color w:val="000000"/>
          <w:spacing w:val="-1"/>
          <w:sz w:val="22"/>
          <w:szCs w:val="22"/>
        </w:rPr>
        <w:t xml:space="preserve"> the</w:t>
      </w:r>
      <w:r>
        <w:rPr>
          <w:color w:val="000000"/>
          <w:spacing w:val="-1"/>
          <w:sz w:val="22"/>
          <w:szCs w:val="22"/>
        </w:rPr>
        <w:t xml:space="preserve"> present study</w:t>
      </w:r>
      <w:r>
        <w:rPr>
          <w:color w:val="000000"/>
        </w:rPr>
        <w:t>. The antibiotic discs were used in Muller-Hinton agar (Figure 1) and th</w:t>
      </w:r>
      <w:r w:rsidR="008B3D80">
        <w:rPr>
          <w:color w:val="000000"/>
        </w:rPr>
        <w:t>e results were interpret</w:t>
      </w:r>
      <w:r>
        <w:rPr>
          <w:color w:val="000000"/>
        </w:rPr>
        <w:t xml:space="preserve">ed by measuring zone of inhibitions according to standard guidelines as described by Perveen </w:t>
      </w:r>
      <w:r w:rsidRPr="008B3D80">
        <w:rPr>
          <w:iCs/>
          <w:color w:val="000000"/>
        </w:rPr>
        <w:t>et al</w:t>
      </w:r>
      <w:r w:rsidR="008B3D80" w:rsidRPr="008B3D80">
        <w:rPr>
          <w:color w:val="000000"/>
        </w:rPr>
        <w:t>.</w:t>
      </w:r>
      <w:r w:rsidRPr="008B3D80">
        <w:rPr>
          <w:color w:val="000000"/>
        </w:rPr>
        <w:t xml:space="preserve"> </w:t>
      </w:r>
      <w:r w:rsidR="008B3D80">
        <w:rPr>
          <w:color w:val="000000"/>
        </w:rPr>
        <w:t>(</w:t>
      </w:r>
      <w:r>
        <w:rPr>
          <w:color w:val="000000"/>
        </w:rPr>
        <w:t>2013</w:t>
      </w:r>
      <w:r w:rsidR="008B3D80">
        <w:rPr>
          <w:color w:val="000000"/>
        </w:rPr>
        <w:t>)</w:t>
      </w:r>
      <w:r>
        <w:rPr>
          <w:color w:val="000000"/>
        </w:rPr>
        <w:t>.</w:t>
      </w:r>
    </w:p>
    <w:p w:rsidR="003F19AA" w:rsidRDefault="003F19AA">
      <w:pPr>
        <w:pStyle w:val="Heading1"/>
        <w:spacing w:beforeAutospacing="1" w:afterAutospacing="1"/>
        <w:rPr>
          <w:sz w:val="28"/>
          <w:szCs w:val="24"/>
        </w:rPr>
      </w:pPr>
      <w:r>
        <w:rPr>
          <w:szCs w:val="24"/>
        </w:rPr>
        <w:t>Results</w:t>
      </w:r>
    </w:p>
    <w:p w:rsidR="003F19AA" w:rsidRDefault="003F19AA">
      <w:pPr>
        <w:spacing w:before="280" w:after="280" w:line="360" w:lineRule="auto"/>
        <w:jc w:val="both"/>
        <w:rPr>
          <w:color w:val="1E1F20"/>
        </w:rPr>
      </w:pPr>
      <w:r>
        <w:t>MRSA is a major issue of public health concern in recent times. In the present study out of 552 samples we isolated 434 Staphylococcus strains containing 191 (44</w:t>
      </w:r>
      <w:r w:rsidR="009176F2">
        <w:t xml:space="preserve"> %) MRSA and 243 other non methi</w:t>
      </w:r>
      <w:r>
        <w:t>cillin resistant Staphylococcus strains, and the rest of samples (109) were negative for Staphylococci. Thus a prevalence of MRSA was 44 % in present study.  51.79% of these positive Staphylococcus samples were from male patients while re</w:t>
      </w:r>
      <w:r w:rsidR="009176F2">
        <w:t>maining 48.21% were from female patients</w:t>
      </w:r>
      <w:r>
        <w:t xml:space="preserve">. All the samples were collected from different wards. Maximum numbers of samples (15.55%) were belonging to surgical ward followed by OPD with 14.70 % of total samples. From the total samples, the samples containing </w:t>
      </w:r>
      <w:r>
        <w:rPr>
          <w:i/>
        </w:rPr>
        <w:t>S. aureus</w:t>
      </w:r>
      <w:r>
        <w:t xml:space="preserve"> were categorized as positive samples. These positive samples were further </w:t>
      </w:r>
      <w:r w:rsidR="009176F2">
        <w:t>checked for their</w:t>
      </w:r>
      <w:r>
        <w:t xml:space="preserve"> resistance pattern against methicillin. </w:t>
      </w:r>
      <w:r>
        <w:rPr>
          <w:color w:val="1E1F20"/>
        </w:rPr>
        <w:t xml:space="preserve">The highest number of MRSA were isolated form wound swabs (24.08 %) followed by pus samples (21.46 %) while the lowest percentage of MRSA was from HSV (3.14 %). </w:t>
      </w:r>
      <w:r w:rsidR="009176F2">
        <w:t xml:space="preserve">Incidence of </w:t>
      </w:r>
      <w:r>
        <w:t xml:space="preserve">MRSA in other samples </w:t>
      </w:r>
      <w:r w:rsidR="009176F2">
        <w:t>is</w:t>
      </w:r>
      <w:r>
        <w:t xml:space="preserve"> </w:t>
      </w:r>
      <w:r>
        <w:rPr>
          <w:color w:val="1E1F20"/>
        </w:rPr>
        <w:t xml:space="preserve">shown in the table 1. </w:t>
      </w:r>
    </w:p>
    <w:p w:rsidR="003F19AA" w:rsidRDefault="003F19AA">
      <w:pPr>
        <w:widowControl w:val="0"/>
        <w:autoSpaceDE w:val="0"/>
        <w:autoSpaceDN w:val="0"/>
        <w:adjustRightInd w:val="0"/>
        <w:spacing w:line="360" w:lineRule="auto"/>
        <w:jc w:val="both"/>
        <w:rPr>
          <w:color w:val="000000"/>
          <w:spacing w:val="-1"/>
          <w:szCs w:val="22"/>
        </w:rPr>
      </w:pPr>
      <w:r>
        <w:rPr>
          <w:color w:val="000000"/>
          <w:spacing w:val="-1"/>
          <w:szCs w:val="22"/>
        </w:rPr>
        <w:lastRenderedPageBreak/>
        <w:t>The  antibiotic sensitivity  patterns  of  MRSA  isolated  from  clinical</w:t>
      </w:r>
      <w:r>
        <w:rPr>
          <w:szCs w:val="20"/>
        </w:rPr>
        <w:t xml:space="preserve"> </w:t>
      </w:r>
      <w:r>
        <w:rPr>
          <w:color w:val="000000"/>
          <w:spacing w:val="-1"/>
          <w:szCs w:val="22"/>
        </w:rPr>
        <w:t>specimens  was  found  to  be  highly  variable in present study.  All  the  191  MRSA  strains isola</w:t>
      </w:r>
      <w:r w:rsidR="003433A6">
        <w:rPr>
          <w:color w:val="000000"/>
          <w:spacing w:val="-1"/>
          <w:szCs w:val="22"/>
        </w:rPr>
        <w:t xml:space="preserve">ted from two hospitals of Kohat were resistant </w:t>
      </w:r>
      <w:r>
        <w:rPr>
          <w:color w:val="000000"/>
          <w:spacing w:val="-1"/>
          <w:szCs w:val="22"/>
        </w:rPr>
        <w:t>to</w:t>
      </w:r>
      <w:r>
        <w:rPr>
          <w:szCs w:val="20"/>
        </w:rPr>
        <w:t xml:space="preserve"> oxacillin (used for screening) and </w:t>
      </w:r>
      <w:r>
        <w:rPr>
          <w:color w:val="000000"/>
          <w:spacing w:val="-1"/>
          <w:szCs w:val="22"/>
        </w:rPr>
        <w:t>penicillin (100%),  followed  by  cefotaxime  (76.43 %),</w:t>
      </w:r>
      <w:r>
        <w:rPr>
          <w:szCs w:val="20"/>
        </w:rPr>
        <w:t xml:space="preserve"> </w:t>
      </w:r>
      <w:r>
        <w:rPr>
          <w:color w:val="000000"/>
          <w:spacing w:val="-1"/>
          <w:szCs w:val="22"/>
        </w:rPr>
        <w:t>ofloxacin  (74 %),  levo</w:t>
      </w:r>
      <w:r w:rsidR="003433A6">
        <w:rPr>
          <w:color w:val="000000"/>
          <w:spacing w:val="-1"/>
          <w:szCs w:val="22"/>
        </w:rPr>
        <w:t>floxacin  (70.15 %),  erythromyc</w:t>
      </w:r>
      <w:r>
        <w:rPr>
          <w:color w:val="000000"/>
          <w:spacing w:val="-1"/>
          <w:szCs w:val="22"/>
        </w:rPr>
        <w:t xml:space="preserve">in  (69.10 %) </w:t>
      </w:r>
      <w:r w:rsidR="000A45A4">
        <w:rPr>
          <w:color w:val="000000"/>
          <w:spacing w:val="-1"/>
          <w:szCs w:val="22"/>
        </w:rPr>
        <w:t xml:space="preserve">and chloramphenicol (34.03 %). </w:t>
      </w:r>
      <w:r>
        <w:rPr>
          <w:color w:val="000000"/>
          <w:spacing w:val="-1"/>
          <w:szCs w:val="22"/>
        </w:rPr>
        <w:t>Highest</w:t>
      </w:r>
      <w:r w:rsidR="000A45A4">
        <w:rPr>
          <w:color w:val="000000"/>
          <w:spacing w:val="-1"/>
          <w:szCs w:val="22"/>
        </w:rPr>
        <w:t xml:space="preserve"> sensitivity was found against vancomycin (99.55 %). The antimicrobial susceptibility pattern of MRSA isolates against different </w:t>
      </w:r>
      <w:r>
        <w:rPr>
          <w:color w:val="000000"/>
          <w:spacing w:val="-1"/>
          <w:szCs w:val="22"/>
        </w:rPr>
        <w:t xml:space="preserve">classes of antibiotics is shown in table 2. Thus, we found all isolates of MRSA resistant to multiple antibiotics tested. </w:t>
      </w:r>
    </w:p>
    <w:p w:rsidR="003F19AA" w:rsidRDefault="003F19AA">
      <w:pPr>
        <w:pStyle w:val="Heading1"/>
        <w:autoSpaceDE/>
        <w:autoSpaceDN/>
        <w:adjustRightInd/>
        <w:spacing w:before="280" w:after="280"/>
        <w:rPr>
          <w:bCs w:val="0"/>
          <w:szCs w:val="24"/>
          <w:lang w:val="en-US"/>
        </w:rPr>
      </w:pPr>
      <w:r>
        <w:rPr>
          <w:bCs w:val="0"/>
          <w:szCs w:val="24"/>
          <w:lang w:val="en-US"/>
        </w:rPr>
        <w:t>Discussion</w:t>
      </w:r>
    </w:p>
    <w:p w:rsidR="003F19AA" w:rsidRPr="000A45A4" w:rsidRDefault="003F19AA">
      <w:pPr>
        <w:spacing w:before="100" w:beforeAutospacing="1" w:after="100" w:afterAutospacing="1" w:line="360" w:lineRule="auto"/>
        <w:jc w:val="both"/>
      </w:pPr>
      <w:r>
        <w:t xml:space="preserve">In the present study the prevalence of MRSA from clinical samples was 44 %. Highest percentage of MRSA (24.08 %) was isolated from wound samples and lowest percentage (3.14%) in HVS samples as shown in Table 1. The results of the present study showed that the </w:t>
      </w:r>
      <w:r w:rsidR="000A45A4">
        <w:rPr>
          <w:color w:val="000000"/>
          <w:spacing w:val="-1"/>
          <w:szCs w:val="22"/>
        </w:rPr>
        <w:t xml:space="preserve">prevalence of methicillin resistance is higher in district Kohat than </w:t>
      </w:r>
      <w:r>
        <w:rPr>
          <w:color w:val="000000"/>
          <w:spacing w:val="-1"/>
          <w:szCs w:val="22"/>
        </w:rPr>
        <w:t>previo</w:t>
      </w:r>
      <w:r w:rsidR="000A45A4">
        <w:rPr>
          <w:color w:val="000000"/>
          <w:spacing w:val="-1"/>
          <w:szCs w:val="22"/>
        </w:rPr>
        <w:t>us reports in Pakistan. Ahmed et al.</w:t>
      </w:r>
      <w:r>
        <w:rPr>
          <w:color w:val="000000"/>
          <w:spacing w:val="-1"/>
          <w:szCs w:val="22"/>
        </w:rPr>
        <w:t xml:space="preserve"> </w:t>
      </w:r>
      <w:r w:rsidR="000A45A4">
        <w:rPr>
          <w:color w:val="000000"/>
          <w:spacing w:val="-1"/>
          <w:szCs w:val="22"/>
        </w:rPr>
        <w:t>(</w:t>
      </w:r>
      <w:r>
        <w:rPr>
          <w:color w:val="000000"/>
          <w:spacing w:val="-1"/>
          <w:szCs w:val="22"/>
        </w:rPr>
        <w:t>2000</w:t>
      </w:r>
      <w:r w:rsidR="000A45A4">
        <w:rPr>
          <w:color w:val="000000"/>
          <w:spacing w:val="-1"/>
          <w:szCs w:val="22"/>
        </w:rPr>
        <w:t>)</w:t>
      </w:r>
      <w:r>
        <w:rPr>
          <w:color w:val="000000"/>
          <w:spacing w:val="-1"/>
          <w:szCs w:val="22"/>
        </w:rPr>
        <w:t xml:space="preserve"> reported 35%</w:t>
      </w:r>
      <w:r w:rsidR="000A45A4">
        <w:rPr>
          <w:color w:val="000000"/>
          <w:spacing w:val="-1"/>
          <w:szCs w:val="22"/>
        </w:rPr>
        <w:t xml:space="preserve"> MRSA prevalence in Pakistan whereas Qureshi et al.</w:t>
      </w:r>
      <w:r>
        <w:rPr>
          <w:color w:val="000000"/>
          <w:spacing w:val="-1"/>
          <w:szCs w:val="22"/>
        </w:rPr>
        <w:t xml:space="preserve"> </w:t>
      </w:r>
      <w:r w:rsidR="000A45A4">
        <w:rPr>
          <w:color w:val="000000"/>
          <w:spacing w:val="-1"/>
          <w:szCs w:val="22"/>
        </w:rPr>
        <w:t>(</w:t>
      </w:r>
      <w:r>
        <w:rPr>
          <w:color w:val="000000"/>
          <w:spacing w:val="-1"/>
          <w:szCs w:val="22"/>
        </w:rPr>
        <w:t>2004</w:t>
      </w:r>
      <w:r w:rsidR="000A45A4">
        <w:rPr>
          <w:color w:val="000000"/>
          <w:spacing w:val="-1"/>
          <w:szCs w:val="22"/>
        </w:rPr>
        <w:t xml:space="preserve">) reported a 28.4% occurrence of MRSA in </w:t>
      </w:r>
      <w:r>
        <w:rPr>
          <w:color w:val="000000"/>
          <w:spacing w:val="-1"/>
          <w:szCs w:val="22"/>
        </w:rPr>
        <w:t>Rawalpindi. In</w:t>
      </w:r>
      <w:r w:rsidR="000A45A4">
        <w:rPr>
          <w:color w:val="000000"/>
          <w:spacing w:val="-1"/>
          <w:szCs w:val="22"/>
        </w:rPr>
        <w:t xml:space="preserve"> another multicenter study conducted by Hafiz et al.</w:t>
      </w:r>
      <w:r>
        <w:rPr>
          <w:color w:val="000000"/>
          <w:spacing w:val="-1"/>
          <w:szCs w:val="22"/>
        </w:rPr>
        <w:t xml:space="preserve"> </w:t>
      </w:r>
      <w:r w:rsidR="000A45A4">
        <w:rPr>
          <w:color w:val="000000"/>
          <w:spacing w:val="-1"/>
          <w:szCs w:val="22"/>
        </w:rPr>
        <w:t>(</w:t>
      </w:r>
      <w:r>
        <w:rPr>
          <w:color w:val="000000"/>
          <w:spacing w:val="-1"/>
          <w:szCs w:val="22"/>
        </w:rPr>
        <w:t>2002</w:t>
      </w:r>
      <w:r w:rsidR="000A45A4">
        <w:rPr>
          <w:color w:val="000000"/>
          <w:spacing w:val="-1"/>
          <w:szCs w:val="22"/>
        </w:rPr>
        <w:t>)</w:t>
      </w:r>
      <w:r>
        <w:rPr>
          <w:color w:val="000000"/>
          <w:spacing w:val="-1"/>
          <w:szCs w:val="22"/>
        </w:rPr>
        <w:t xml:space="preserve"> r</w:t>
      </w:r>
      <w:r w:rsidR="000A45A4">
        <w:rPr>
          <w:color w:val="000000"/>
          <w:spacing w:val="-1"/>
          <w:szCs w:val="22"/>
        </w:rPr>
        <w:t xml:space="preserve">eported the prevalence of MRSA </w:t>
      </w:r>
      <w:r>
        <w:rPr>
          <w:color w:val="000000"/>
          <w:spacing w:val="-1"/>
          <w:szCs w:val="22"/>
        </w:rPr>
        <w:t>strains in various cities of Pakistan was highest 61</w:t>
      </w:r>
      <w:r w:rsidR="000A45A4">
        <w:rPr>
          <w:color w:val="000000"/>
          <w:spacing w:val="-1"/>
          <w:szCs w:val="22"/>
        </w:rPr>
        <w:t xml:space="preserve">% in Lahore, 57% in Karachi, 46% </w:t>
      </w:r>
      <w:r>
        <w:rPr>
          <w:color w:val="000000"/>
          <w:spacing w:val="-1"/>
          <w:szCs w:val="22"/>
        </w:rPr>
        <w:t xml:space="preserve">in Rawalpindi Islamabad and 36% in Peshawar. </w:t>
      </w:r>
      <w:r>
        <w:rPr>
          <w:color w:val="000000"/>
          <w:lang w:eastAsia="en-GB"/>
        </w:rPr>
        <w:t xml:space="preserve">Similar study conducted by </w:t>
      </w:r>
      <w:r>
        <w:rPr>
          <w:color w:val="000000"/>
        </w:rPr>
        <w:t xml:space="preserve">Siddique </w:t>
      </w:r>
      <w:r w:rsidRPr="000A45A4">
        <w:rPr>
          <w:color w:val="000000"/>
        </w:rPr>
        <w:t>et al.</w:t>
      </w:r>
      <w:r>
        <w:rPr>
          <w:color w:val="000000"/>
        </w:rPr>
        <w:t xml:space="preserve"> (1999) at </w:t>
      </w:r>
      <w:r>
        <w:rPr>
          <w:color w:val="000000"/>
          <w:lang w:eastAsia="en-GB"/>
        </w:rPr>
        <w:t xml:space="preserve">Sargodha, Pakistan isolated 23% MRSA, </w:t>
      </w:r>
      <w:r>
        <w:t xml:space="preserve">Samia </w:t>
      </w:r>
      <w:r w:rsidRPr="000A45A4">
        <w:t>et al.</w:t>
      </w:r>
      <w:r>
        <w:t xml:space="preserve"> (2007) at Karachi, Pakistan isolated 43% MRSA, and the</w:t>
      </w:r>
      <w:r w:rsidR="000A45A4">
        <w:t>n</w:t>
      </w:r>
      <w:r>
        <w:t xml:space="preserve"> </w:t>
      </w:r>
      <w:r>
        <w:rPr>
          <w:color w:val="000000"/>
        </w:rPr>
        <w:t xml:space="preserve">Khatoon </w:t>
      </w:r>
      <w:r w:rsidRPr="000A45A4">
        <w:rPr>
          <w:color w:val="000000"/>
        </w:rPr>
        <w:t>et al.</w:t>
      </w:r>
      <w:r>
        <w:rPr>
          <w:color w:val="000000"/>
        </w:rPr>
        <w:t xml:space="preserve"> (2002) at Karachi, Pakistan isolated 38.5% MRSA. Similar study was also conducted in India by </w:t>
      </w:r>
      <w:r>
        <w:t>Shagufta and Jayaraj (2010)</w:t>
      </w:r>
      <w:r w:rsidR="000A45A4">
        <w:t xml:space="preserve"> who</w:t>
      </w:r>
      <w:r>
        <w:t xml:space="preserve"> isolated 77.9% MRSA, while Helena </w:t>
      </w:r>
      <w:r w:rsidRPr="000A45A4">
        <w:t>et al.</w:t>
      </w:r>
      <w:r>
        <w:t xml:space="preserve"> (2010) in Brazil isolate</w:t>
      </w:r>
      <w:r w:rsidR="000A45A4">
        <w:t>d</w:t>
      </w:r>
      <w:r>
        <w:t xml:space="preserve"> 61% MRSA. This shows an increase in MRSA percentage with time. This increase is due to transfer of resistance genes between bacterial cell and persistence of bacteria in hospital environment due to antibiotic resistance. Absence of control program for antibiotics usage pattern is another factor which facilitates MRSA to increase in concentration (Hacek </w:t>
      </w:r>
      <w:r w:rsidRPr="000A45A4">
        <w:t>et al.</w:t>
      </w:r>
      <w:r w:rsidR="000A45A4">
        <w:t>,</w:t>
      </w:r>
      <w:r>
        <w:t xml:space="preserve"> 1999).</w:t>
      </w:r>
    </w:p>
    <w:p w:rsidR="003F19AA" w:rsidRDefault="003F19AA">
      <w:pPr>
        <w:widowControl w:val="0"/>
        <w:autoSpaceDE w:val="0"/>
        <w:autoSpaceDN w:val="0"/>
        <w:adjustRightInd w:val="0"/>
        <w:spacing w:line="360" w:lineRule="auto"/>
        <w:jc w:val="both"/>
        <w:rPr>
          <w:color w:val="000000"/>
          <w:spacing w:val="-1"/>
          <w:szCs w:val="22"/>
        </w:rPr>
      </w:pPr>
      <w:r>
        <w:rPr>
          <w:color w:val="000000"/>
          <w:spacing w:val="-1"/>
          <w:szCs w:val="22"/>
        </w:rPr>
        <w:t>In</w:t>
      </w:r>
      <w:r w:rsidR="000A45A4">
        <w:rPr>
          <w:color w:val="000000"/>
          <w:spacing w:val="-1"/>
          <w:szCs w:val="22"/>
        </w:rPr>
        <w:t xml:space="preserve"> the present study all the 191 MRSA </w:t>
      </w:r>
      <w:r>
        <w:rPr>
          <w:color w:val="000000"/>
          <w:spacing w:val="-1"/>
          <w:szCs w:val="22"/>
        </w:rPr>
        <w:t>strains isolat</w:t>
      </w:r>
      <w:r w:rsidR="000A45A4">
        <w:rPr>
          <w:color w:val="000000"/>
          <w:spacing w:val="-1"/>
          <w:szCs w:val="22"/>
        </w:rPr>
        <w:t>ed fr</w:t>
      </w:r>
      <w:r w:rsidR="000F1817">
        <w:rPr>
          <w:color w:val="000000"/>
          <w:spacing w:val="-1"/>
          <w:szCs w:val="22"/>
        </w:rPr>
        <w:t xml:space="preserve">om two hospitals of Kohat were </w:t>
      </w:r>
      <w:r w:rsidR="000A45A4">
        <w:rPr>
          <w:color w:val="000000"/>
          <w:spacing w:val="-1"/>
          <w:szCs w:val="22"/>
        </w:rPr>
        <w:t xml:space="preserve">resistant </w:t>
      </w:r>
      <w:r>
        <w:rPr>
          <w:color w:val="000000"/>
          <w:spacing w:val="-1"/>
          <w:szCs w:val="22"/>
        </w:rPr>
        <w:t>to</w:t>
      </w:r>
      <w:r w:rsidR="000A45A4">
        <w:rPr>
          <w:szCs w:val="20"/>
        </w:rPr>
        <w:t xml:space="preserve"> </w:t>
      </w:r>
      <w:r>
        <w:rPr>
          <w:szCs w:val="20"/>
        </w:rPr>
        <w:t>oxacillin and amoxycillin</w:t>
      </w:r>
      <w:r w:rsidR="000A45A4">
        <w:rPr>
          <w:color w:val="000000"/>
          <w:spacing w:val="-1"/>
          <w:szCs w:val="22"/>
        </w:rPr>
        <w:t xml:space="preserve"> (100%), followed by cefotaxime </w:t>
      </w:r>
      <w:r>
        <w:rPr>
          <w:color w:val="000000"/>
          <w:spacing w:val="-1"/>
          <w:szCs w:val="22"/>
        </w:rPr>
        <w:t>(76.43 %),</w:t>
      </w:r>
      <w:r>
        <w:rPr>
          <w:szCs w:val="20"/>
        </w:rPr>
        <w:t xml:space="preserve"> </w:t>
      </w:r>
      <w:r w:rsidR="000A45A4">
        <w:rPr>
          <w:color w:val="000000"/>
          <w:spacing w:val="-1"/>
          <w:szCs w:val="22"/>
        </w:rPr>
        <w:lastRenderedPageBreak/>
        <w:t xml:space="preserve">ofloxacin </w:t>
      </w:r>
      <w:r>
        <w:rPr>
          <w:color w:val="000000"/>
          <w:spacing w:val="-1"/>
          <w:szCs w:val="22"/>
        </w:rPr>
        <w:t>(7</w:t>
      </w:r>
      <w:r w:rsidR="000A45A4">
        <w:rPr>
          <w:color w:val="000000"/>
          <w:spacing w:val="-1"/>
          <w:szCs w:val="22"/>
        </w:rPr>
        <w:t>4 %), levofloxacin (70.15 %), erythromycin</w:t>
      </w:r>
      <w:r>
        <w:rPr>
          <w:color w:val="000000"/>
          <w:spacing w:val="-1"/>
          <w:szCs w:val="22"/>
        </w:rPr>
        <w:t xml:space="preserve"> (69.10 %) and chloramphenicol  (34.03 %) as shown in figure 2.  Highest sensit</w:t>
      </w:r>
      <w:r w:rsidR="000A45A4">
        <w:rPr>
          <w:color w:val="000000"/>
          <w:spacing w:val="-1"/>
          <w:szCs w:val="22"/>
        </w:rPr>
        <w:t>ivity was found against vancomyc</w:t>
      </w:r>
      <w:r>
        <w:rPr>
          <w:color w:val="000000"/>
          <w:spacing w:val="-1"/>
          <w:szCs w:val="22"/>
        </w:rPr>
        <w:t>in (99.55 %). James and Reeves (1996) found MRSA strains resistant to first, second, third and fourth generation of cephalosporins.</w:t>
      </w:r>
      <w:r>
        <w:rPr>
          <w:szCs w:val="20"/>
        </w:rPr>
        <w:t xml:space="preserve"> In a study conducted by Perveen </w:t>
      </w:r>
      <w:r w:rsidRPr="000A45A4">
        <w:rPr>
          <w:iCs/>
          <w:szCs w:val="20"/>
        </w:rPr>
        <w:t>et al</w:t>
      </w:r>
      <w:r w:rsidR="000A45A4" w:rsidRPr="000A45A4">
        <w:rPr>
          <w:szCs w:val="20"/>
        </w:rPr>
        <w:t>.</w:t>
      </w:r>
      <w:r>
        <w:rPr>
          <w:szCs w:val="20"/>
        </w:rPr>
        <w:t xml:space="preserve"> </w:t>
      </w:r>
      <w:r w:rsidR="000A45A4">
        <w:rPr>
          <w:szCs w:val="20"/>
        </w:rPr>
        <w:t>(</w:t>
      </w:r>
      <w:r>
        <w:rPr>
          <w:szCs w:val="20"/>
        </w:rPr>
        <w:t>2013</w:t>
      </w:r>
      <w:r w:rsidR="000A45A4">
        <w:rPr>
          <w:szCs w:val="20"/>
        </w:rPr>
        <w:t>)</w:t>
      </w:r>
      <w:r>
        <w:rPr>
          <w:szCs w:val="20"/>
        </w:rPr>
        <w:t xml:space="preserve">, </w:t>
      </w:r>
      <w:r w:rsidR="000A45A4">
        <w:t>83% of the MRSA showed resistance</w:t>
      </w:r>
      <w:r>
        <w:t xml:space="preserve"> against</w:t>
      </w:r>
      <w:r>
        <w:rPr>
          <w:szCs w:val="20"/>
        </w:rPr>
        <w:t xml:space="preserve"> </w:t>
      </w:r>
      <w:r w:rsidR="000A45A4">
        <w:t xml:space="preserve">cephradine. Mahmood </w:t>
      </w:r>
      <w:r w:rsidR="000A45A4">
        <w:rPr>
          <w:iCs/>
        </w:rPr>
        <w:t>et</w:t>
      </w:r>
      <w:r w:rsidRPr="000A45A4">
        <w:rPr>
          <w:iCs/>
        </w:rPr>
        <w:t xml:space="preserve"> al</w:t>
      </w:r>
      <w:r w:rsidR="000A45A4" w:rsidRPr="000A45A4">
        <w:t>.</w:t>
      </w:r>
      <w:r>
        <w:t xml:space="preserve"> </w:t>
      </w:r>
      <w:r w:rsidR="000A45A4">
        <w:t>(</w:t>
      </w:r>
      <w:r>
        <w:t>2001</w:t>
      </w:r>
      <w:r w:rsidR="000A45A4">
        <w:t xml:space="preserve">) reported 29% resistance of generation cephalosporins. Gentamicin is an </w:t>
      </w:r>
      <w:r>
        <w:t>ami</w:t>
      </w:r>
      <w:r w:rsidR="000A45A4">
        <w:t>n</w:t>
      </w:r>
      <w:r>
        <w:t xml:space="preserve">oglycoside </w:t>
      </w:r>
      <w:r w:rsidR="000A45A4">
        <w:t xml:space="preserve">and is </w:t>
      </w:r>
      <w:r>
        <w:t>most</w:t>
      </w:r>
      <w:r w:rsidR="000A45A4">
        <w:t xml:space="preserve"> often </w:t>
      </w:r>
      <w:r>
        <w:t>prescribed</w:t>
      </w:r>
      <w:r w:rsidR="000A45A4">
        <w:rPr>
          <w:szCs w:val="20"/>
        </w:rPr>
        <w:t xml:space="preserve"> </w:t>
      </w:r>
      <w:r w:rsidR="000A45A4">
        <w:t xml:space="preserve">because of </w:t>
      </w:r>
      <w:r>
        <w:t>its low cost</w:t>
      </w:r>
      <w:r w:rsidR="000A45A4">
        <w:t xml:space="preserve"> and synergistic activity with </w:t>
      </w:r>
      <w:r>
        <w:t>ß-lactum antibiotics. In present study MRSA sho</w:t>
      </w:r>
      <w:r w:rsidR="000F1817">
        <w:t>wed 67.01 % resistance against g</w:t>
      </w:r>
      <w:r>
        <w:t xml:space="preserve">entamicin which is lower than shown by Perveen </w:t>
      </w:r>
      <w:r w:rsidRPr="001F22C1">
        <w:rPr>
          <w:iCs/>
        </w:rPr>
        <w:t>et al</w:t>
      </w:r>
      <w:r w:rsidR="001F22C1" w:rsidRPr="001F22C1">
        <w:t>.</w:t>
      </w:r>
      <w:r>
        <w:t xml:space="preserve"> </w:t>
      </w:r>
      <w:r w:rsidR="001F22C1">
        <w:t>(</w:t>
      </w:r>
      <w:r>
        <w:t>2013</w:t>
      </w:r>
      <w:r w:rsidR="001F22C1">
        <w:t>)</w:t>
      </w:r>
      <w:r>
        <w:t xml:space="preserve"> who reported 76.35% of MRSA</w:t>
      </w:r>
      <w:r w:rsidR="001F22C1">
        <w:t xml:space="preserve"> resistance towards </w:t>
      </w:r>
      <w:r>
        <w:t>gentamicin</w:t>
      </w:r>
      <w:r w:rsidR="001F22C1">
        <w:rPr>
          <w:color w:val="000000"/>
          <w:spacing w:val="-1"/>
          <w:szCs w:val="22"/>
        </w:rPr>
        <w:t xml:space="preserve">. In this study 69.10 % </w:t>
      </w:r>
      <w:r w:rsidR="000F1817">
        <w:rPr>
          <w:color w:val="000000"/>
          <w:spacing w:val="-1"/>
          <w:szCs w:val="22"/>
        </w:rPr>
        <w:t xml:space="preserve">of MRSA were </w:t>
      </w:r>
      <w:r w:rsidR="001F22C1">
        <w:rPr>
          <w:color w:val="000000"/>
          <w:spacing w:val="-1"/>
          <w:szCs w:val="22"/>
        </w:rPr>
        <w:t xml:space="preserve">resistant to erythromycin, which </w:t>
      </w:r>
      <w:r>
        <w:rPr>
          <w:color w:val="000000"/>
          <w:spacing w:val="-1"/>
          <w:szCs w:val="22"/>
        </w:rPr>
        <w:t>is</w:t>
      </w:r>
      <w:r>
        <w:rPr>
          <w:szCs w:val="20"/>
        </w:rPr>
        <w:t xml:space="preserve"> </w:t>
      </w:r>
      <w:r w:rsidR="000F1817">
        <w:rPr>
          <w:color w:val="000000"/>
          <w:spacing w:val="-1"/>
          <w:szCs w:val="22"/>
        </w:rPr>
        <w:t xml:space="preserve">in accordance with previous </w:t>
      </w:r>
      <w:r>
        <w:rPr>
          <w:color w:val="000000"/>
          <w:spacing w:val="-1"/>
          <w:szCs w:val="22"/>
        </w:rPr>
        <w:t xml:space="preserve">reports conducted by Perveen </w:t>
      </w:r>
      <w:r w:rsidRPr="001F22C1">
        <w:rPr>
          <w:iCs/>
          <w:color w:val="000000"/>
          <w:spacing w:val="-1"/>
          <w:szCs w:val="22"/>
        </w:rPr>
        <w:t>et al</w:t>
      </w:r>
      <w:r w:rsidR="001F22C1" w:rsidRPr="001F22C1">
        <w:rPr>
          <w:color w:val="000000"/>
          <w:spacing w:val="-1"/>
          <w:szCs w:val="22"/>
        </w:rPr>
        <w:t>.</w:t>
      </w:r>
      <w:r>
        <w:rPr>
          <w:color w:val="000000"/>
          <w:spacing w:val="-1"/>
          <w:szCs w:val="22"/>
        </w:rPr>
        <w:t xml:space="preserve"> </w:t>
      </w:r>
      <w:r w:rsidR="001F22C1">
        <w:rPr>
          <w:color w:val="000000"/>
          <w:spacing w:val="-1"/>
          <w:szCs w:val="22"/>
        </w:rPr>
        <w:t>(</w:t>
      </w:r>
      <w:r>
        <w:rPr>
          <w:color w:val="000000"/>
          <w:spacing w:val="-1"/>
          <w:szCs w:val="22"/>
        </w:rPr>
        <w:t>2013</w:t>
      </w:r>
      <w:r w:rsidR="001F22C1">
        <w:rPr>
          <w:color w:val="000000"/>
          <w:spacing w:val="-1"/>
          <w:szCs w:val="22"/>
        </w:rPr>
        <w:t xml:space="preserve">). Among </w:t>
      </w:r>
      <w:r>
        <w:rPr>
          <w:color w:val="000000"/>
          <w:spacing w:val="-1"/>
          <w:szCs w:val="22"/>
        </w:rPr>
        <w:t>quinolones the percentage resistance found in MRSA in present</w:t>
      </w:r>
      <w:r w:rsidR="001F22C1">
        <w:rPr>
          <w:color w:val="000000"/>
          <w:spacing w:val="-1"/>
          <w:szCs w:val="22"/>
        </w:rPr>
        <w:t xml:space="preserve"> study was quite higher. </w:t>
      </w:r>
      <w:r>
        <w:rPr>
          <w:color w:val="000000"/>
          <w:spacing w:val="-1"/>
          <w:szCs w:val="22"/>
        </w:rPr>
        <w:t>Previously</w:t>
      </w:r>
      <w:r w:rsidR="001F22C1">
        <w:rPr>
          <w:szCs w:val="20"/>
        </w:rPr>
        <w:t xml:space="preserve"> </w:t>
      </w:r>
      <w:r w:rsidR="001F22C1">
        <w:rPr>
          <w:color w:val="000000"/>
          <w:spacing w:val="-1"/>
          <w:szCs w:val="22"/>
        </w:rPr>
        <w:t xml:space="preserve">reported resistance of </w:t>
      </w:r>
      <w:r>
        <w:rPr>
          <w:color w:val="000000"/>
          <w:spacing w:val="-1"/>
          <w:szCs w:val="22"/>
        </w:rPr>
        <w:t xml:space="preserve">ciprofloxacin and other quinolones also showed higher pattern as reported by </w:t>
      </w:r>
      <w:r w:rsidR="001F22C1" w:rsidRPr="001F22C1">
        <w:rPr>
          <w:color w:val="000000"/>
          <w:spacing w:val="-1"/>
          <w:szCs w:val="22"/>
        </w:rPr>
        <w:t>Auckenthaler</w:t>
      </w:r>
      <w:r>
        <w:rPr>
          <w:color w:val="000000"/>
          <w:spacing w:val="-1"/>
          <w:szCs w:val="22"/>
        </w:rPr>
        <w:t xml:space="preserve"> </w:t>
      </w:r>
      <w:r w:rsidRPr="001F22C1">
        <w:rPr>
          <w:iCs/>
          <w:color w:val="000000"/>
          <w:spacing w:val="-1"/>
          <w:szCs w:val="22"/>
        </w:rPr>
        <w:t>et al</w:t>
      </w:r>
      <w:r w:rsidR="001F22C1" w:rsidRPr="001F22C1">
        <w:rPr>
          <w:color w:val="000000"/>
          <w:spacing w:val="-1"/>
          <w:szCs w:val="22"/>
        </w:rPr>
        <w:t xml:space="preserve">. </w:t>
      </w:r>
      <w:r w:rsidR="001F22C1">
        <w:rPr>
          <w:color w:val="000000"/>
          <w:spacing w:val="-1"/>
          <w:szCs w:val="22"/>
        </w:rPr>
        <w:t xml:space="preserve">(2000). In the present study all the </w:t>
      </w:r>
      <w:r>
        <w:rPr>
          <w:color w:val="000000"/>
          <w:spacing w:val="-1"/>
          <w:szCs w:val="22"/>
        </w:rPr>
        <w:t>MRSA isolat</w:t>
      </w:r>
      <w:r w:rsidR="001F22C1">
        <w:rPr>
          <w:color w:val="000000"/>
          <w:spacing w:val="-1"/>
          <w:szCs w:val="22"/>
        </w:rPr>
        <w:t>es gave 99.55 % sensitivity to vancomyc</w:t>
      </w:r>
      <w:r>
        <w:rPr>
          <w:color w:val="000000"/>
          <w:spacing w:val="-1"/>
          <w:szCs w:val="22"/>
        </w:rPr>
        <w:t xml:space="preserve">in. There was only one isolate that was found </w:t>
      </w:r>
      <w:r w:rsidR="001F22C1">
        <w:rPr>
          <w:color w:val="000000"/>
          <w:spacing w:val="-1"/>
          <w:szCs w:val="22"/>
        </w:rPr>
        <w:t xml:space="preserve">to be resistant to vancomycin. These results coincide with </w:t>
      </w:r>
      <w:r>
        <w:rPr>
          <w:color w:val="000000"/>
          <w:spacing w:val="-1"/>
          <w:szCs w:val="22"/>
        </w:rPr>
        <w:t>the findings of</w:t>
      </w:r>
      <w:r>
        <w:rPr>
          <w:szCs w:val="20"/>
        </w:rPr>
        <w:t xml:space="preserve"> </w:t>
      </w:r>
      <w:r w:rsidR="008A67CA">
        <w:rPr>
          <w:color w:val="000000"/>
          <w:spacing w:val="-1"/>
          <w:szCs w:val="22"/>
        </w:rPr>
        <w:t xml:space="preserve">multi-drug resistance </w:t>
      </w:r>
      <w:r w:rsidR="001F22C1">
        <w:rPr>
          <w:color w:val="000000"/>
          <w:spacing w:val="-1"/>
          <w:szCs w:val="22"/>
        </w:rPr>
        <w:t xml:space="preserve">in </w:t>
      </w:r>
      <w:r>
        <w:rPr>
          <w:color w:val="000000"/>
          <w:spacing w:val="-1"/>
          <w:szCs w:val="22"/>
        </w:rPr>
        <w:t xml:space="preserve">the study conducted by Perveen </w:t>
      </w:r>
      <w:r w:rsidRPr="001F22C1">
        <w:rPr>
          <w:iCs/>
          <w:color w:val="000000"/>
          <w:spacing w:val="-1"/>
          <w:szCs w:val="22"/>
        </w:rPr>
        <w:t>et al</w:t>
      </w:r>
      <w:r w:rsidR="001F22C1" w:rsidRPr="001F22C1">
        <w:rPr>
          <w:color w:val="000000"/>
          <w:spacing w:val="-1"/>
          <w:szCs w:val="22"/>
        </w:rPr>
        <w:t>.</w:t>
      </w:r>
      <w:r>
        <w:rPr>
          <w:color w:val="000000"/>
          <w:spacing w:val="-1"/>
          <w:szCs w:val="22"/>
        </w:rPr>
        <w:t xml:space="preserve"> </w:t>
      </w:r>
      <w:r w:rsidR="001F22C1">
        <w:rPr>
          <w:color w:val="000000"/>
          <w:spacing w:val="-1"/>
          <w:szCs w:val="22"/>
        </w:rPr>
        <w:t>(</w:t>
      </w:r>
      <w:r>
        <w:rPr>
          <w:color w:val="000000"/>
          <w:spacing w:val="-1"/>
          <w:szCs w:val="22"/>
        </w:rPr>
        <w:t>2013</w:t>
      </w:r>
      <w:r w:rsidR="001F22C1">
        <w:rPr>
          <w:color w:val="000000"/>
          <w:spacing w:val="-1"/>
          <w:szCs w:val="22"/>
        </w:rPr>
        <w:t>)</w:t>
      </w:r>
      <w:r>
        <w:rPr>
          <w:color w:val="000000"/>
          <w:spacing w:val="-1"/>
          <w:szCs w:val="22"/>
        </w:rPr>
        <w:t>. The results of present study clearly showed high prevalence of MRSA in hospitals of district Kohat. All these antibiotics are frequently prescribed by clinicians without carrying out antibiogram ass</w:t>
      </w:r>
      <w:r w:rsidR="001F22C1">
        <w:rPr>
          <w:color w:val="000000"/>
          <w:spacing w:val="-1"/>
          <w:szCs w:val="22"/>
        </w:rPr>
        <w:t>a</w:t>
      </w:r>
      <w:r>
        <w:rPr>
          <w:color w:val="000000"/>
          <w:spacing w:val="-1"/>
          <w:szCs w:val="22"/>
        </w:rPr>
        <w:t>ys on samples of their patients. Moreover, common people have easy access to these antibiotics available to them at local pharmacies without any prescriptions fro</w:t>
      </w:r>
      <w:r w:rsidR="001F22C1">
        <w:rPr>
          <w:color w:val="000000"/>
          <w:spacing w:val="-1"/>
          <w:szCs w:val="22"/>
        </w:rPr>
        <w:t xml:space="preserve">m doctors. Therefore, the rise in resistance is clearly due to irrational use of antibiotics and </w:t>
      </w:r>
      <w:r w:rsidR="008A67CA">
        <w:rPr>
          <w:color w:val="000000"/>
          <w:spacing w:val="-1"/>
          <w:szCs w:val="22"/>
        </w:rPr>
        <w:t xml:space="preserve">non existence of protocols and </w:t>
      </w:r>
      <w:r w:rsidR="001F22C1">
        <w:rPr>
          <w:color w:val="000000"/>
          <w:spacing w:val="-1"/>
          <w:szCs w:val="22"/>
        </w:rPr>
        <w:t>guidelines</w:t>
      </w:r>
      <w:r>
        <w:rPr>
          <w:color w:val="000000"/>
          <w:spacing w:val="-1"/>
          <w:szCs w:val="22"/>
        </w:rPr>
        <w:t xml:space="preserve"> for safe practice in terms of treatment of MRSA. </w:t>
      </w:r>
    </w:p>
    <w:p w:rsidR="003F19AA" w:rsidRDefault="003F19AA">
      <w:pPr>
        <w:pStyle w:val="Heading1"/>
        <w:spacing w:beforeAutospacing="1" w:afterAutospacing="1"/>
        <w:rPr>
          <w:szCs w:val="24"/>
          <w:lang w:val="en-US"/>
        </w:rPr>
      </w:pPr>
      <w:r>
        <w:rPr>
          <w:szCs w:val="24"/>
          <w:lang w:val="en-US"/>
        </w:rPr>
        <w:t>Conclusion</w:t>
      </w:r>
    </w:p>
    <w:p w:rsidR="003F19AA" w:rsidRDefault="003F19AA">
      <w:pPr>
        <w:widowControl w:val="0"/>
        <w:autoSpaceDE w:val="0"/>
        <w:autoSpaceDN w:val="0"/>
        <w:adjustRightInd w:val="0"/>
        <w:spacing w:line="360" w:lineRule="auto"/>
        <w:jc w:val="both"/>
      </w:pPr>
      <w:r>
        <w:t>MRSA were isolated in high concentration from clinical samples in present study which showed a high risk to the patients and staff working in the hospital. The over-crowding in hospital, lack of facilities and lack of knowledge about HA-MRSA leads to the presence of nosocomial pathogen in such a high concentration. MRSA strains isolated showed resi</w:t>
      </w:r>
      <w:r w:rsidR="001F22C1">
        <w:t xml:space="preserve">stance to multiple antibiotics. </w:t>
      </w:r>
      <w:r>
        <w:t xml:space="preserve">This study suggests implementation of preventive measure in order to minimize the bacterial resistance to antibiotics. An electronic record </w:t>
      </w:r>
      <w:r>
        <w:lastRenderedPageBreak/>
        <w:t>of antibiotic usage should be made to prevent unnecessary usage of broad spectrum antibiotics and increase recommended usage of antibiot</w:t>
      </w:r>
      <w:r w:rsidR="001F22C1">
        <w:t>ics. All the health care personne</w:t>
      </w:r>
      <w:r>
        <w:t>l should strictly follow the preventive guideline for patient as well as for their own safety. Proper antibiotics susceptibility test should be made for all suspected in</w:t>
      </w:r>
      <w:r w:rsidR="001F22C1">
        <w:t>fection caused by MRSA. Vancomyc</w:t>
      </w:r>
      <w:r>
        <w:t>in showed good results against MRSA in the present study. But the prescription of this antibiotic should be limited and subject</w:t>
      </w:r>
      <w:r w:rsidR="001F22C1">
        <w:t>ed</w:t>
      </w:r>
      <w:r>
        <w:t xml:space="preserve"> to presentation of proper antimicrobial sensitivity assay reports.</w:t>
      </w:r>
    </w:p>
    <w:p w:rsidR="003F19AA" w:rsidRDefault="003F19AA">
      <w:pPr>
        <w:pStyle w:val="Heading1"/>
        <w:widowControl w:val="0"/>
        <w:spacing w:before="0" w:after="0"/>
        <w:rPr>
          <w:szCs w:val="24"/>
          <w:lang w:val="en-US"/>
        </w:rPr>
      </w:pPr>
    </w:p>
    <w:p w:rsidR="003F19AA" w:rsidRDefault="003F19AA">
      <w:pPr>
        <w:pStyle w:val="Heading1"/>
        <w:widowControl w:val="0"/>
        <w:spacing w:before="0" w:after="0"/>
        <w:rPr>
          <w:szCs w:val="24"/>
          <w:lang w:val="en-US"/>
        </w:rPr>
      </w:pPr>
      <w:r>
        <w:rPr>
          <w:szCs w:val="24"/>
          <w:lang w:val="en-US"/>
        </w:rPr>
        <w:t>Ethical Consideration</w:t>
      </w:r>
    </w:p>
    <w:p w:rsidR="003F19AA" w:rsidRDefault="003F19AA">
      <w:pPr>
        <w:pStyle w:val="BodyText3"/>
      </w:pPr>
      <w:r>
        <w:t>The samples were obtained from patients with prior informed consent and explaining</w:t>
      </w:r>
      <w:r w:rsidR="001F22C1">
        <w:t xml:space="preserve"> </w:t>
      </w:r>
      <w:r>
        <w:t>to them the importance of this study. The study was finally approved by Research and ethical committee, Department of Microbiology, Kohat University of Science and Technology, Pakistan.</w:t>
      </w:r>
    </w:p>
    <w:p w:rsidR="003F19AA" w:rsidRDefault="003F19AA">
      <w:pPr>
        <w:pStyle w:val="Heading1"/>
        <w:widowControl w:val="0"/>
        <w:spacing w:before="0" w:after="0"/>
        <w:rPr>
          <w:szCs w:val="24"/>
          <w:lang w:val="en-US"/>
        </w:rPr>
      </w:pPr>
      <w:r>
        <w:rPr>
          <w:szCs w:val="24"/>
          <w:lang w:val="en-US"/>
        </w:rPr>
        <w:t>Conflict of Interest</w:t>
      </w:r>
    </w:p>
    <w:p w:rsidR="003F19AA" w:rsidRDefault="003F19AA">
      <w:pPr>
        <w:widowControl w:val="0"/>
        <w:autoSpaceDE w:val="0"/>
        <w:autoSpaceDN w:val="0"/>
        <w:adjustRightInd w:val="0"/>
        <w:spacing w:line="360" w:lineRule="auto"/>
        <w:jc w:val="both"/>
      </w:pPr>
      <w:r>
        <w:t>The authors declare no conflict of interest of any type.</w:t>
      </w:r>
    </w:p>
    <w:p w:rsidR="003F19AA" w:rsidRDefault="003F19AA">
      <w:pPr>
        <w:pStyle w:val="Heading1"/>
        <w:widowControl w:val="0"/>
        <w:spacing w:before="0" w:after="0"/>
        <w:rPr>
          <w:szCs w:val="24"/>
          <w:lang w:val="en-US"/>
        </w:rPr>
      </w:pPr>
      <w:r>
        <w:rPr>
          <w:szCs w:val="24"/>
          <w:lang w:val="en-US"/>
        </w:rPr>
        <w:t>Acknowledgements</w:t>
      </w:r>
    </w:p>
    <w:p w:rsidR="003F19AA" w:rsidRDefault="003F19AA">
      <w:pPr>
        <w:pStyle w:val="BodyText3"/>
        <w:widowControl/>
        <w:autoSpaceDE/>
        <w:autoSpaceDN/>
        <w:adjustRightInd/>
      </w:pPr>
      <w:r>
        <w:t xml:space="preserve">We are grateful to Dr. Younas Nadeem and Dr Sami, DHQ hospital Kohat for their technical help in obtaining clinical samples from patients. We also express our thanks to laboratory staff department of Microbiology, Kohat University for facilitating us in providing sterilized glassware and other requirements during the study </w:t>
      </w:r>
      <w:r w:rsidR="001F22C1">
        <w:t>period. Lastly, we are thankful</w:t>
      </w:r>
      <w:r>
        <w:t xml:space="preserve"> to all patients for providing the clinical samples for present study.</w:t>
      </w:r>
    </w:p>
    <w:p w:rsidR="003F19AA" w:rsidRDefault="003F19AA">
      <w:pPr>
        <w:pStyle w:val="Heading1"/>
        <w:spacing w:beforeAutospacing="1" w:afterAutospacing="1"/>
        <w:rPr>
          <w:szCs w:val="24"/>
          <w:lang w:val="en-US"/>
        </w:rPr>
      </w:pPr>
      <w:r>
        <w:rPr>
          <w:szCs w:val="24"/>
          <w:lang w:val="en-US"/>
        </w:rPr>
        <w:t>References</w:t>
      </w:r>
    </w:p>
    <w:p w:rsidR="003F19AA" w:rsidRDefault="000A35C7" w:rsidP="00CE30DA">
      <w:pPr>
        <w:autoSpaceDE w:val="0"/>
        <w:autoSpaceDN w:val="0"/>
        <w:adjustRightInd w:val="0"/>
        <w:spacing w:before="240" w:line="360" w:lineRule="auto"/>
        <w:ind w:left="360"/>
        <w:jc w:val="both"/>
        <w:rPr>
          <w:rFonts w:eastAsia="Calibri"/>
        </w:rPr>
      </w:pPr>
      <w:r>
        <w:rPr>
          <w:rFonts w:eastAsia="Calibri"/>
        </w:rPr>
        <w:t>Ahmed A, Qureshi SF and</w:t>
      </w:r>
      <w:r w:rsidR="003F19AA">
        <w:rPr>
          <w:rFonts w:eastAsia="Calibri"/>
        </w:rPr>
        <w:t xml:space="preserve"> Ansari N (2000). Prevalence and antibiotic sensitivity pattern of methicillin resistant </w:t>
      </w:r>
      <w:r w:rsidR="003F19AA">
        <w:rPr>
          <w:rFonts w:eastAsia="Calibri"/>
          <w:i/>
          <w:iCs/>
        </w:rPr>
        <w:t xml:space="preserve">Staphylococcus aureus </w:t>
      </w:r>
      <w:r w:rsidR="003F19AA">
        <w:rPr>
          <w:rFonts w:eastAsia="Calibri"/>
        </w:rPr>
        <w:t>(MRSA) infection in a tertiary care hospital. Karachi: Liaquat National Hospital Symposium.</w:t>
      </w:r>
    </w:p>
    <w:p w:rsidR="003F19AA" w:rsidRDefault="003F19AA" w:rsidP="00CE30DA">
      <w:pPr>
        <w:autoSpaceDE w:val="0"/>
        <w:autoSpaceDN w:val="0"/>
        <w:adjustRightInd w:val="0"/>
        <w:spacing w:before="240" w:line="360" w:lineRule="auto"/>
        <w:ind w:left="360"/>
        <w:jc w:val="both"/>
        <w:rPr>
          <w:rFonts w:eastAsia="Calibri"/>
        </w:rPr>
      </w:pPr>
      <w:r>
        <w:rPr>
          <w:rFonts w:eastAsia="Calibri"/>
        </w:rPr>
        <w:t>Aucke</w:t>
      </w:r>
      <w:r w:rsidR="000A35C7">
        <w:rPr>
          <w:rFonts w:eastAsia="Calibri"/>
        </w:rPr>
        <w:t>nthaler R, Courvalin P, Feger C and</w:t>
      </w:r>
      <w:r>
        <w:rPr>
          <w:rFonts w:eastAsia="Calibri"/>
        </w:rPr>
        <w:t xml:space="preserve"> Roche G (2000). In vitro activity of quinupristin/ dalfopristin in comparison with five antibiotics against worldwide clinical isolates of staphylococci. Clin. Microbiol. Infect. 6: 608 - 612.</w:t>
      </w:r>
    </w:p>
    <w:p w:rsidR="003F19AA" w:rsidRDefault="003F19AA" w:rsidP="00CE30DA">
      <w:pPr>
        <w:autoSpaceDE w:val="0"/>
        <w:autoSpaceDN w:val="0"/>
        <w:adjustRightInd w:val="0"/>
        <w:spacing w:before="240" w:after="100" w:afterAutospacing="1" w:line="360" w:lineRule="auto"/>
        <w:ind w:left="360"/>
        <w:jc w:val="both"/>
      </w:pPr>
      <w:r>
        <w:rPr>
          <w:bCs/>
        </w:rPr>
        <w:lastRenderedPageBreak/>
        <w:t xml:space="preserve">Bassim H and El-Maghraby M (2005). </w:t>
      </w:r>
      <w:r>
        <w:t xml:space="preserve">Methicillin-resistant </w:t>
      </w:r>
      <w:r>
        <w:rPr>
          <w:i/>
        </w:rPr>
        <w:t>Staphylococcus aureus</w:t>
      </w:r>
      <w:r>
        <w:t xml:space="preserve"> (MRSA) a challenge for infection control. </w:t>
      </w:r>
      <w:r>
        <w:rPr>
          <w:i/>
        </w:rPr>
        <w:t>ASJOG.</w:t>
      </w:r>
      <w:r>
        <w:t xml:space="preserve"> 2: 277 - 279.</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Boyce JM (1990). Increasing prevalence of methicillin-resistant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in the United States. </w:t>
      </w:r>
      <w:r>
        <w:rPr>
          <w:rFonts w:ascii="Times New Roman" w:hAnsi="Times New Roman" w:cs="Times New Roman"/>
          <w:i/>
          <w:color w:val="auto"/>
        </w:rPr>
        <w:t>Infect. Contr. Hosp. Epidemiol.</w:t>
      </w:r>
      <w:r>
        <w:rPr>
          <w:rFonts w:ascii="Times New Roman" w:hAnsi="Times New Roman" w:cs="Times New Roman"/>
          <w:color w:val="auto"/>
        </w:rPr>
        <w:t xml:space="preserve"> 11: 639 - 642.</w:t>
      </w:r>
    </w:p>
    <w:p w:rsidR="003F19AA" w:rsidRDefault="003F19AA" w:rsidP="00CE30DA">
      <w:pPr>
        <w:autoSpaceDE w:val="0"/>
        <w:autoSpaceDN w:val="0"/>
        <w:adjustRightInd w:val="0"/>
        <w:spacing w:before="240" w:after="100" w:afterAutospacing="1" w:line="360" w:lineRule="auto"/>
        <w:ind w:left="360"/>
        <w:jc w:val="both"/>
      </w:pPr>
      <w:r>
        <w:rPr>
          <w:bCs/>
        </w:rPr>
        <w:t xml:space="preserve">Enright MC, Robinson DA, Randle G, Feil EJ, Grundmann H and Spratt BG (2002). </w:t>
      </w:r>
      <w:r>
        <w:t xml:space="preserve">The evolutionary history of methicillin-resistant </w:t>
      </w:r>
      <w:r>
        <w:rPr>
          <w:i/>
        </w:rPr>
        <w:t>Staphylococcus aureus</w:t>
      </w:r>
      <w:r>
        <w:t xml:space="preserve"> (MRSA). </w:t>
      </w:r>
      <w:r>
        <w:rPr>
          <w:i/>
        </w:rPr>
        <w:t>PNAS</w:t>
      </w:r>
      <w:r>
        <w:rPr>
          <w:bCs/>
          <w:i/>
        </w:rPr>
        <w:t>.</w:t>
      </w:r>
      <w:r>
        <w:rPr>
          <w:bCs/>
        </w:rPr>
        <w:t xml:space="preserve"> </w:t>
      </w:r>
      <w:r>
        <w:t>99: 7687 - 7692.</w:t>
      </w:r>
    </w:p>
    <w:p w:rsidR="003F19AA" w:rsidRDefault="003F19AA" w:rsidP="00CE30DA">
      <w:pPr>
        <w:autoSpaceDE w:val="0"/>
        <w:autoSpaceDN w:val="0"/>
        <w:adjustRightInd w:val="0"/>
        <w:spacing w:before="240" w:after="100" w:afterAutospacing="1" w:line="360" w:lineRule="auto"/>
        <w:ind w:left="360"/>
        <w:jc w:val="both"/>
      </w:pPr>
      <w:r>
        <w:t xml:space="preserve">Hacek DM, Suriano T, Noskin G, Kruszynski J, Reisberg B and Peterson L (1999). Medical and economic benefit of a comprehensive infection control program that includes routine determination of microbial clonality. </w:t>
      </w:r>
      <w:r>
        <w:rPr>
          <w:i/>
          <w:iCs/>
        </w:rPr>
        <w:t>Am. J. Clin. Pathol</w:t>
      </w:r>
      <w:r>
        <w:rPr>
          <w:i/>
        </w:rPr>
        <w:t>.</w:t>
      </w:r>
      <w:r>
        <w:t xml:space="preserve"> 111: 647 - 654.</w:t>
      </w:r>
    </w:p>
    <w:p w:rsidR="003F19AA" w:rsidRDefault="003F19AA" w:rsidP="00CE30DA">
      <w:pPr>
        <w:autoSpaceDE w:val="0"/>
        <w:autoSpaceDN w:val="0"/>
        <w:adjustRightInd w:val="0"/>
        <w:spacing w:before="240" w:line="360" w:lineRule="auto"/>
        <w:ind w:left="360"/>
        <w:jc w:val="both"/>
      </w:pPr>
      <w:r>
        <w:rPr>
          <w:rFonts w:eastAsia="Calibri"/>
        </w:rPr>
        <w:t xml:space="preserve">Hafiz S, Hafiz AN, Ali L, Chughtai AS, Memon B, Ahmed A, et al. (2002). Methicillin resistant </w:t>
      </w:r>
      <w:r>
        <w:rPr>
          <w:rFonts w:eastAsia="Calibri"/>
          <w:i/>
          <w:iCs/>
        </w:rPr>
        <w:t>Staphylococcus aureus</w:t>
      </w:r>
      <w:r>
        <w:rPr>
          <w:rFonts w:eastAsia="Calibri"/>
        </w:rPr>
        <w:t xml:space="preserve">: a multicentre study. </w:t>
      </w:r>
      <w:r>
        <w:rPr>
          <w:rFonts w:eastAsia="Calibri"/>
          <w:i/>
        </w:rPr>
        <w:t xml:space="preserve">JPMA. </w:t>
      </w:r>
      <w:r>
        <w:rPr>
          <w:rFonts w:eastAsia="Calibri"/>
        </w:rPr>
        <w:t>52: 31 - 32.</w:t>
      </w:r>
    </w:p>
    <w:p w:rsidR="003F19AA" w:rsidRDefault="003F19AA" w:rsidP="00CE30DA">
      <w:pPr>
        <w:autoSpaceDE w:val="0"/>
        <w:autoSpaceDN w:val="0"/>
        <w:adjustRightInd w:val="0"/>
        <w:spacing w:before="240" w:after="100" w:afterAutospacing="1" w:line="360" w:lineRule="auto"/>
        <w:ind w:left="360"/>
        <w:jc w:val="both"/>
      </w:pPr>
      <w:r>
        <w:rPr>
          <w:bCs/>
        </w:rPr>
        <w:t xml:space="preserve">Hartmann FA, Trostle SS and Klohnen AAO (1997). </w:t>
      </w:r>
      <w:r>
        <w:t xml:space="preserve">Isolation of methicillin-resistant </w:t>
      </w:r>
      <w:r>
        <w:rPr>
          <w:i/>
        </w:rPr>
        <w:t>Staphylococcus aureus</w:t>
      </w:r>
      <w:r>
        <w:t xml:space="preserve"> from a postoperative wound infection in a horse. </w:t>
      </w:r>
      <w:r>
        <w:rPr>
          <w:i/>
        </w:rPr>
        <w:t>J. Am. Vet. Med. Assoc.</w:t>
      </w:r>
      <w:r>
        <w:t xml:space="preserve"> 211: 590 - 592.</w:t>
      </w:r>
    </w:p>
    <w:p w:rsidR="003F19AA" w:rsidRDefault="003F19AA" w:rsidP="00CE30DA">
      <w:pPr>
        <w:autoSpaceDE w:val="0"/>
        <w:autoSpaceDN w:val="0"/>
        <w:adjustRightInd w:val="0"/>
        <w:spacing w:before="240" w:after="100" w:afterAutospacing="1" w:line="360" w:lineRule="auto"/>
        <w:ind w:left="360"/>
        <w:jc w:val="both"/>
      </w:pPr>
      <w:r>
        <w:t xml:space="preserve">Helena BS, Machado DP, Camey SA, Uchenbecker RS, Barth AL and Wagner MB (2010). Prevalence and acquisition of MRSA amongst patients admitted to a tertiary-care hospital in Brazil. </w:t>
      </w:r>
      <w:r>
        <w:rPr>
          <w:i/>
        </w:rPr>
        <w:t>BMC Infect. Dis.</w:t>
      </w:r>
      <w:r>
        <w:t xml:space="preserve"> 328(10): 1 - 7.</w:t>
      </w:r>
    </w:p>
    <w:p w:rsidR="003F19AA" w:rsidRDefault="003F19AA" w:rsidP="00CE30DA">
      <w:pPr>
        <w:autoSpaceDE w:val="0"/>
        <w:autoSpaceDN w:val="0"/>
        <w:adjustRightInd w:val="0"/>
        <w:spacing w:before="240" w:after="100" w:afterAutospacing="1" w:line="360" w:lineRule="auto"/>
        <w:ind w:left="360"/>
        <w:jc w:val="both"/>
      </w:pPr>
      <w:r>
        <w:rPr>
          <w:bCs/>
        </w:rPr>
        <w:t xml:space="preserve">Ho G, Campbell MS, Bergdoll MS and Carlson E (1989). </w:t>
      </w:r>
      <w:r>
        <w:t xml:space="preserve">Production of toxic shock syndrome toxin variant by </w:t>
      </w:r>
      <w:r>
        <w:rPr>
          <w:i/>
          <w:iCs/>
        </w:rPr>
        <w:t xml:space="preserve">Staphylococcus aureus </w:t>
      </w:r>
      <w:r>
        <w:t xml:space="preserve">strains associated with sheep, goats and cows. </w:t>
      </w:r>
      <w:r>
        <w:rPr>
          <w:i/>
        </w:rPr>
        <w:t>J. Clin. Microbiol.</w:t>
      </w:r>
      <w:r>
        <w:t xml:space="preserve"> </w:t>
      </w:r>
      <w:r>
        <w:rPr>
          <w:bCs/>
        </w:rPr>
        <w:t xml:space="preserve">72: </w:t>
      </w:r>
      <w:r>
        <w:t>1946 - 1948.</w:t>
      </w:r>
    </w:p>
    <w:p w:rsidR="003F19AA" w:rsidRDefault="00245D05" w:rsidP="00CE30DA">
      <w:pPr>
        <w:autoSpaceDE w:val="0"/>
        <w:autoSpaceDN w:val="0"/>
        <w:adjustRightInd w:val="0"/>
        <w:spacing w:before="240" w:line="360" w:lineRule="auto"/>
        <w:ind w:left="360"/>
        <w:jc w:val="both"/>
        <w:rPr>
          <w:rFonts w:eastAsia="Calibri"/>
        </w:rPr>
      </w:pPr>
      <w:r>
        <w:rPr>
          <w:rFonts w:eastAsia="Calibri"/>
        </w:rPr>
        <w:t>James PA and</w:t>
      </w:r>
      <w:r w:rsidR="003F19AA">
        <w:rPr>
          <w:rFonts w:eastAsia="Calibri"/>
        </w:rPr>
        <w:t xml:space="preserve"> Reeves DS (1996). Bacterial resistance to cephalosporins as a function of outer memberane permeability and access to their target. </w:t>
      </w:r>
      <w:r w:rsidR="003F19AA">
        <w:rPr>
          <w:rFonts w:eastAsia="Calibri"/>
          <w:i/>
        </w:rPr>
        <w:t>J Chemother.</w:t>
      </w:r>
      <w:r w:rsidR="003F19AA">
        <w:rPr>
          <w:rFonts w:eastAsia="Calibri"/>
        </w:rPr>
        <w:t xml:space="preserve"> 8: 37 - 47.</w:t>
      </w:r>
    </w:p>
    <w:p w:rsidR="003F19AA" w:rsidRDefault="003F19AA" w:rsidP="00CE30DA">
      <w:pPr>
        <w:autoSpaceDE w:val="0"/>
        <w:autoSpaceDN w:val="0"/>
        <w:adjustRightInd w:val="0"/>
        <w:spacing w:before="240" w:after="100" w:afterAutospacing="1" w:line="360" w:lineRule="auto"/>
        <w:ind w:left="360"/>
        <w:jc w:val="both"/>
      </w:pPr>
      <w:r>
        <w:lastRenderedPageBreak/>
        <w:t xml:space="preserve">Khatoon N, Bukhari H, Riaz JR and Sheikh AS (2002). Prevalence of methicillin resistant staphylococcus aureus (MRSA) infection laboratory study at Mayo Hospital Lahore. </w:t>
      </w:r>
      <w:r>
        <w:rPr>
          <w:i/>
        </w:rPr>
        <w:t>Biomedica</w:t>
      </w:r>
      <w:r>
        <w:t>. 18: 49 - 52.</w:t>
      </w:r>
    </w:p>
    <w:p w:rsidR="003F19AA" w:rsidRDefault="003F19AA" w:rsidP="00CE30DA">
      <w:pPr>
        <w:autoSpaceDE w:val="0"/>
        <w:autoSpaceDN w:val="0"/>
        <w:adjustRightInd w:val="0"/>
        <w:spacing w:before="240" w:after="100" w:afterAutospacing="1" w:line="360" w:lineRule="auto"/>
        <w:ind w:left="360"/>
        <w:jc w:val="both"/>
      </w:pPr>
      <w:r>
        <w:rPr>
          <w:bCs/>
        </w:rPr>
        <w:t xml:space="preserve">Krziwanek K, Metz-Gercek S and Mittermayer H (2009). Methicillin-resistant </w:t>
      </w:r>
      <w:r>
        <w:rPr>
          <w:bCs/>
          <w:i/>
        </w:rPr>
        <w:t>Staphylococcus aureus</w:t>
      </w:r>
      <w:r>
        <w:rPr>
          <w:bCs/>
        </w:rPr>
        <w:t xml:space="preserve"> ST398 from human patients, upper Austria. </w:t>
      </w:r>
      <w:r>
        <w:rPr>
          <w:i/>
        </w:rPr>
        <w:t>Emerg. Infect. Dis.</w:t>
      </w:r>
      <w:r>
        <w:t xml:space="preserve"> 15(5): 766 - 769.</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Liu C, Bayer A, Cosgrove S, Daum RS, Fridkin S, Gorwitz R, Kaplan S, Karchmer A, Levine D, Murray B, Rybak M, Talan D and Chambers H (2011). Clinical practice guidelines by the infectious diseases society of America for the treatment of methicillin-resistant </w:t>
      </w:r>
      <w:r>
        <w:rPr>
          <w:rFonts w:ascii="Times New Roman" w:hAnsi="Times New Roman" w:cs="Times New Roman"/>
          <w:i/>
          <w:iCs/>
          <w:color w:val="auto"/>
        </w:rPr>
        <w:t>Staphylococcus aureus</w:t>
      </w:r>
      <w:r>
        <w:rPr>
          <w:rFonts w:ascii="Times New Roman" w:hAnsi="Times New Roman" w:cs="Times New Roman"/>
          <w:color w:val="auto"/>
        </w:rPr>
        <w:t>. Infections in Adults and Children. Downloaded from cid.oxfordjournals.org by guest on November 4.</w:t>
      </w:r>
    </w:p>
    <w:p w:rsidR="003F19AA" w:rsidRDefault="003F19AA" w:rsidP="00CE30DA">
      <w:pPr>
        <w:autoSpaceDE w:val="0"/>
        <w:autoSpaceDN w:val="0"/>
        <w:adjustRightInd w:val="0"/>
        <w:spacing w:before="240" w:after="100" w:afterAutospacing="1" w:line="360" w:lineRule="auto"/>
        <w:ind w:left="360"/>
        <w:jc w:val="both"/>
      </w:pPr>
      <w:r>
        <w:t xml:space="preserve">Lowy FD (1998). </w:t>
      </w:r>
      <w:r>
        <w:rPr>
          <w:i/>
        </w:rPr>
        <w:t>Staphylococcus aureus</w:t>
      </w:r>
      <w:r>
        <w:t xml:space="preserve"> infections. </w:t>
      </w:r>
      <w:r>
        <w:rPr>
          <w:i/>
        </w:rPr>
        <w:t>New. Eng. J. Med</w:t>
      </w:r>
      <w:r>
        <w:t>. 339: 520 - 532.</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Ma SH, Lee YS, Lee SH, Kim HK, Jin JS, Shin EK and Lee JC (2007). Methicillin-resistant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clones with distinct clinical and microbiological features in Korean community. </w:t>
      </w:r>
      <w:r>
        <w:rPr>
          <w:rFonts w:ascii="Times New Roman" w:hAnsi="Times New Roman" w:cs="Times New Roman"/>
          <w:i/>
          <w:color w:val="auto"/>
        </w:rPr>
        <w:t>J. Med. Microbiol.</w:t>
      </w:r>
      <w:r>
        <w:rPr>
          <w:rFonts w:ascii="Times New Roman" w:hAnsi="Times New Roman" w:cs="Times New Roman"/>
          <w:color w:val="auto"/>
        </w:rPr>
        <w:t xml:space="preserve"> 56(6): 866 - 868.</w:t>
      </w:r>
    </w:p>
    <w:p w:rsidR="003F19AA" w:rsidRDefault="003F19AA" w:rsidP="00CE30DA">
      <w:pPr>
        <w:pStyle w:val="Default"/>
        <w:spacing w:before="240" w:after="100" w:afterAutospacing="1" w:line="360" w:lineRule="auto"/>
        <w:ind w:left="360"/>
        <w:jc w:val="both"/>
        <w:rPr>
          <w:rFonts w:ascii="Times New Roman" w:hAnsi="Times New Roman" w:cs="Times New Roman"/>
          <w:bCs/>
          <w:color w:val="auto"/>
        </w:rPr>
      </w:pPr>
      <w:r>
        <w:rPr>
          <w:rFonts w:ascii="Times New Roman" w:hAnsi="Times New Roman" w:cs="Times New Roman"/>
          <w:color w:val="auto"/>
        </w:rPr>
        <w:t xml:space="preserve">Madani TA, Al-Abdullah NA, Al-Sanousi AA, Ghabrah TM, Afandi SZ and Bajunid HA (2001). Methicillin-resistant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in two tertiary care centers in Jeddah, Saudi Arabia. </w:t>
      </w:r>
      <w:r>
        <w:rPr>
          <w:rFonts w:ascii="Times New Roman" w:hAnsi="Times New Roman" w:cs="Times New Roman"/>
          <w:i/>
          <w:color w:val="auto"/>
        </w:rPr>
        <w:t>Infect. Cont. Hosp. Epidemiol.</w:t>
      </w:r>
      <w:r>
        <w:rPr>
          <w:rFonts w:ascii="Times New Roman" w:hAnsi="Times New Roman" w:cs="Times New Roman"/>
          <w:color w:val="auto"/>
        </w:rPr>
        <w:t xml:space="preserve"> 22: 211 - 216.</w:t>
      </w:r>
    </w:p>
    <w:p w:rsidR="003F19AA" w:rsidRDefault="000A35C7" w:rsidP="00CE30DA">
      <w:pPr>
        <w:autoSpaceDE w:val="0"/>
        <w:autoSpaceDN w:val="0"/>
        <w:adjustRightInd w:val="0"/>
        <w:spacing w:before="240" w:line="360" w:lineRule="auto"/>
        <w:ind w:left="360"/>
        <w:jc w:val="both"/>
        <w:rPr>
          <w:rFonts w:eastAsia="Calibri"/>
        </w:rPr>
      </w:pPr>
      <w:r>
        <w:rPr>
          <w:rFonts w:eastAsia="Calibri"/>
        </w:rPr>
        <w:t>Mahmood A, Rafique S, Qayyum M and</w:t>
      </w:r>
      <w:r w:rsidR="003F19AA">
        <w:rPr>
          <w:rFonts w:eastAsia="Calibri"/>
        </w:rPr>
        <w:t xml:space="preserve"> Qazilbash AA (2001). Prevalence of nosocomial and community-based methicillin-resistant </w:t>
      </w:r>
      <w:r w:rsidR="003F19AA">
        <w:rPr>
          <w:rFonts w:eastAsia="Calibri"/>
          <w:i/>
          <w:iCs/>
        </w:rPr>
        <w:t xml:space="preserve">Staphylococcus aureus </w:t>
      </w:r>
      <w:r w:rsidR="003F19AA">
        <w:rPr>
          <w:rFonts w:eastAsia="Calibri"/>
        </w:rPr>
        <w:t xml:space="preserve">(MRSA). </w:t>
      </w:r>
      <w:r w:rsidR="003F19AA">
        <w:rPr>
          <w:rFonts w:eastAsia="Calibri"/>
          <w:i/>
        </w:rPr>
        <w:t>Pak. J. Med. Res.</w:t>
      </w:r>
      <w:r w:rsidR="003F19AA">
        <w:rPr>
          <w:rFonts w:eastAsia="Calibri"/>
        </w:rPr>
        <w:t xml:space="preserve"> 40: 86 - 89.</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Mandell GL, Bennett JE and Dolin R (2005). Eds. Principles and practice of infectious diseases. 6th ed. Churchill Livingstone, London.</w:t>
      </w:r>
    </w:p>
    <w:p w:rsidR="003F19AA" w:rsidRDefault="003F19AA" w:rsidP="00CE30DA">
      <w:pPr>
        <w:autoSpaceDE w:val="0"/>
        <w:autoSpaceDN w:val="0"/>
        <w:adjustRightInd w:val="0"/>
        <w:spacing w:before="240" w:after="100" w:afterAutospacing="1" w:line="360" w:lineRule="auto"/>
        <w:ind w:left="360"/>
        <w:jc w:val="both"/>
      </w:pPr>
      <w:r>
        <w:rPr>
          <w:bCs/>
        </w:rPr>
        <w:t xml:space="preserve">Milyani R and Ashy N (2012). Inhibitory effect of some plant extracts on clinical isolates of </w:t>
      </w:r>
      <w:r>
        <w:rPr>
          <w:bCs/>
          <w:i/>
          <w:iCs/>
        </w:rPr>
        <w:t xml:space="preserve">Staphylococcus aureus. </w:t>
      </w:r>
      <w:r>
        <w:rPr>
          <w:i/>
        </w:rPr>
        <w:t>Afr. J. Microbiol. Res.</w:t>
      </w:r>
      <w:r>
        <w:t xml:space="preserve"> 6(40): 6822 - 6829.</w:t>
      </w:r>
    </w:p>
    <w:p w:rsidR="003F19AA" w:rsidRDefault="003F19AA" w:rsidP="00CE30DA">
      <w:pPr>
        <w:autoSpaceDE w:val="0"/>
        <w:autoSpaceDN w:val="0"/>
        <w:adjustRightInd w:val="0"/>
        <w:spacing w:before="240" w:after="100" w:afterAutospacing="1" w:line="360" w:lineRule="auto"/>
        <w:ind w:left="360"/>
        <w:jc w:val="both"/>
      </w:pPr>
      <w:r>
        <w:rPr>
          <w:bCs/>
        </w:rPr>
        <w:lastRenderedPageBreak/>
        <w:t>Persoons D, Hoorebeke SV, Hermans K, Butaye P, Kruif</w:t>
      </w:r>
      <w:r w:rsidR="00D73604">
        <w:rPr>
          <w:bCs/>
        </w:rPr>
        <w:t xml:space="preserve"> AD, Haesebrouck F and Dewulf J </w:t>
      </w:r>
      <w:r>
        <w:rPr>
          <w:bCs/>
        </w:rPr>
        <w:t xml:space="preserve">(2009). Methicillin-resistant </w:t>
      </w:r>
      <w:r>
        <w:rPr>
          <w:bCs/>
          <w:i/>
        </w:rPr>
        <w:t>Staphylococcus aureus</w:t>
      </w:r>
      <w:r>
        <w:rPr>
          <w:bCs/>
        </w:rPr>
        <w:t xml:space="preserve"> in poultry. </w:t>
      </w:r>
      <w:r>
        <w:rPr>
          <w:bCs/>
          <w:i/>
        </w:rPr>
        <w:t>Emerg. Infect. Dis.</w:t>
      </w:r>
      <w:r>
        <w:rPr>
          <w:bCs/>
        </w:rPr>
        <w:t xml:space="preserve"> </w:t>
      </w:r>
      <w:r>
        <w:t>15(3): 452 - 453.</w:t>
      </w:r>
    </w:p>
    <w:p w:rsidR="003F19AA" w:rsidRDefault="003F19AA" w:rsidP="00CE30DA">
      <w:pPr>
        <w:widowControl w:val="0"/>
        <w:autoSpaceDE w:val="0"/>
        <w:autoSpaceDN w:val="0"/>
        <w:adjustRightInd w:val="0"/>
        <w:spacing w:before="240" w:line="360" w:lineRule="auto"/>
        <w:ind w:left="360"/>
        <w:jc w:val="both"/>
      </w:pPr>
      <w:r>
        <w:t xml:space="preserve">Perveen I, Majid, A, Kanwal S, Naz I, Sehr S, Safia A and Muhammad AR (2013). Prevalence and antimicrobial Pattern of Methacillin resistant Staphylococcus aureus and Coagulase negative Staphylococcus in Rawalpindi, Pakistan. </w:t>
      </w:r>
      <w:r>
        <w:rPr>
          <w:i/>
        </w:rPr>
        <w:t xml:space="preserve">British J. of Med &amp; Med. Res. </w:t>
      </w:r>
      <w:r>
        <w:rPr>
          <w:iCs/>
          <w:spacing w:val="-1"/>
        </w:rPr>
        <w:t>3(1): 198 - 209.</w:t>
      </w:r>
    </w:p>
    <w:p w:rsidR="003F19AA" w:rsidRDefault="000A35C7" w:rsidP="00CE30DA">
      <w:pPr>
        <w:autoSpaceDE w:val="0"/>
        <w:autoSpaceDN w:val="0"/>
        <w:adjustRightInd w:val="0"/>
        <w:spacing w:before="240" w:line="360" w:lineRule="auto"/>
        <w:ind w:left="360"/>
        <w:jc w:val="both"/>
      </w:pPr>
      <w:r>
        <w:rPr>
          <w:rFonts w:eastAsia="Calibri"/>
        </w:rPr>
        <w:t>Qureshi A, Rafi HS, Qureshi SM and</w:t>
      </w:r>
      <w:r w:rsidR="003F19AA">
        <w:rPr>
          <w:rFonts w:eastAsia="Calibri"/>
        </w:rPr>
        <w:t xml:space="preserve"> Ali AM (2004) The current susceptibility patterns of methicillin resistant </w:t>
      </w:r>
      <w:r w:rsidR="003F19AA">
        <w:rPr>
          <w:rFonts w:eastAsia="Calibri"/>
          <w:i/>
          <w:iCs/>
        </w:rPr>
        <w:t xml:space="preserve">Staphylococcus aureus </w:t>
      </w:r>
      <w:r w:rsidR="003F19AA">
        <w:rPr>
          <w:rFonts w:eastAsia="Calibri"/>
        </w:rPr>
        <w:t xml:space="preserve">to conventional anti </w:t>
      </w:r>
      <w:r w:rsidR="003F19AA">
        <w:rPr>
          <w:rFonts w:eastAsia="Calibri"/>
          <w:i/>
          <w:iCs/>
        </w:rPr>
        <w:t xml:space="preserve">staphylococcus </w:t>
      </w:r>
      <w:r w:rsidR="003F19AA">
        <w:rPr>
          <w:rFonts w:eastAsia="Calibri"/>
        </w:rPr>
        <w:t xml:space="preserve">antimicrobials at Rawalpindi. </w:t>
      </w:r>
      <w:r w:rsidR="003F19AA">
        <w:rPr>
          <w:rFonts w:eastAsia="Calibri"/>
          <w:i/>
        </w:rPr>
        <w:t xml:space="preserve">Pak. J Med Sci. </w:t>
      </w:r>
      <w:r w:rsidR="003F19AA">
        <w:rPr>
          <w:rFonts w:eastAsia="Calibri"/>
        </w:rPr>
        <w:t>20(4): 361 - 364.</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Reyes J, Rincon S, Diaz L, Panesso D, Contreras GA, Zurita J, Carrillo C, Rizzi A, Guzman M, Adachi J, Chowdhury S, Murray BE and Arias CA (2009). Dissemination of methicillin-resistant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USA300 sequence type 8 lineage in Latin America. </w:t>
      </w:r>
      <w:r>
        <w:rPr>
          <w:rFonts w:ascii="Times New Roman" w:hAnsi="Times New Roman" w:cs="Times New Roman"/>
          <w:i/>
          <w:color w:val="auto"/>
        </w:rPr>
        <w:t>Clin. Infect. Dis.</w:t>
      </w:r>
      <w:r>
        <w:rPr>
          <w:rFonts w:ascii="Times New Roman" w:hAnsi="Times New Roman" w:cs="Times New Roman"/>
          <w:color w:val="auto"/>
        </w:rPr>
        <w:t xml:space="preserve"> 49: 1861 - 1877.</w:t>
      </w:r>
    </w:p>
    <w:p w:rsidR="003F19AA" w:rsidRDefault="003F19AA" w:rsidP="00CE30DA">
      <w:pPr>
        <w:autoSpaceDE w:val="0"/>
        <w:autoSpaceDN w:val="0"/>
        <w:adjustRightInd w:val="0"/>
        <w:spacing w:before="240" w:after="100" w:afterAutospacing="1" w:line="360" w:lineRule="auto"/>
        <w:ind w:left="360"/>
        <w:jc w:val="both"/>
      </w:pPr>
      <w:r>
        <w:t>Samia P, Barakzi Q, Farooqi BJ, Nazia K and Sabir N (2007).</w:t>
      </w:r>
      <w:r>
        <w:rPr>
          <w:bCs/>
        </w:rPr>
        <w:t xml:space="preserve"> Antimicrobial susceptibility pattern of clinical isolates of methicillin resistant </w:t>
      </w:r>
      <w:r>
        <w:rPr>
          <w:bCs/>
          <w:i/>
        </w:rPr>
        <w:t>Staphylococcus aureus</w:t>
      </w:r>
      <w:r>
        <w:rPr>
          <w:bCs/>
        </w:rPr>
        <w:t>.</w:t>
      </w:r>
      <w:r>
        <w:t xml:space="preserve"> </w:t>
      </w:r>
      <w:r>
        <w:rPr>
          <w:i/>
        </w:rPr>
        <w:t>J. Pak. Med. Asso.</w:t>
      </w:r>
      <w:r>
        <w:t xml:space="preserve"> 57(1): 2 - 4.</w:t>
      </w:r>
    </w:p>
    <w:p w:rsidR="003F19AA" w:rsidRDefault="003F19AA" w:rsidP="00CE30DA">
      <w:pPr>
        <w:autoSpaceDE w:val="0"/>
        <w:autoSpaceDN w:val="0"/>
        <w:adjustRightInd w:val="0"/>
        <w:spacing w:before="240" w:after="100" w:afterAutospacing="1" w:line="360" w:lineRule="auto"/>
        <w:ind w:left="360"/>
        <w:jc w:val="both"/>
      </w:pPr>
      <w:r>
        <w:t xml:space="preserve">Shagufta N and Jayaraj YM (2010). Nasal carriage of methicillin-resistant </w:t>
      </w:r>
      <w:r>
        <w:rPr>
          <w:i/>
        </w:rPr>
        <w:t>staphylococcus aureus</w:t>
      </w:r>
      <w:r>
        <w:t xml:space="preserve"> isolated from intensive care unit patient. </w:t>
      </w:r>
      <w:r>
        <w:rPr>
          <w:i/>
        </w:rPr>
        <w:t>Res. J. Boil. Sci.</w:t>
      </w:r>
      <w:r>
        <w:t xml:space="preserve"> 5(2): 150 - 154.</w:t>
      </w:r>
    </w:p>
    <w:p w:rsidR="003F19AA" w:rsidRDefault="003F19AA" w:rsidP="00CE30DA">
      <w:pPr>
        <w:autoSpaceDE w:val="0"/>
        <w:autoSpaceDN w:val="0"/>
        <w:adjustRightInd w:val="0"/>
        <w:spacing w:before="240" w:after="100" w:afterAutospacing="1" w:line="360" w:lineRule="auto"/>
        <w:ind w:left="360"/>
        <w:jc w:val="both"/>
        <w:rPr>
          <w:bCs/>
        </w:rPr>
      </w:pPr>
      <w:r>
        <w:t xml:space="preserve">Shai A, Natalya MD, Bilenko MD, Zeev RB and Halevy MD (2004). Use of infection control procedures in an out-patient clinic for leg ulcers and the rate of contamination with methicillin-resistant </w:t>
      </w:r>
      <w:r>
        <w:rPr>
          <w:i/>
          <w:iCs/>
        </w:rPr>
        <w:t xml:space="preserve">Staphylococcus aureus. </w:t>
      </w:r>
      <w:r>
        <w:rPr>
          <w:i/>
        </w:rPr>
        <w:t>Wounds</w:t>
      </w:r>
      <w:r>
        <w:t>. 16(6): 15 - 25.</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Shittu A, Nubel U, Udo E, Lin J and Gaogakwe S (2009). Characterization of meticillin-resistant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isolates from hospitals in Kwazulu-Natal province, Republic of South Africa. </w:t>
      </w:r>
      <w:r>
        <w:rPr>
          <w:rFonts w:ascii="Times New Roman" w:hAnsi="Times New Roman" w:cs="Times New Roman"/>
          <w:i/>
          <w:color w:val="auto"/>
        </w:rPr>
        <w:t>J. Med. Microbiol</w:t>
      </w:r>
      <w:r>
        <w:rPr>
          <w:rFonts w:ascii="Times New Roman" w:hAnsi="Times New Roman" w:cs="Times New Roman"/>
          <w:i/>
          <w:iCs/>
          <w:color w:val="auto"/>
        </w:rPr>
        <w:t xml:space="preserve">. </w:t>
      </w:r>
      <w:r>
        <w:rPr>
          <w:rFonts w:ascii="Times New Roman" w:hAnsi="Times New Roman" w:cs="Times New Roman"/>
          <w:color w:val="auto"/>
        </w:rPr>
        <w:t>58: 1219 - 1226.</w:t>
      </w:r>
    </w:p>
    <w:p w:rsidR="003F19AA" w:rsidRDefault="003F19AA" w:rsidP="00CE30DA">
      <w:pPr>
        <w:autoSpaceDE w:val="0"/>
        <w:autoSpaceDN w:val="0"/>
        <w:adjustRightInd w:val="0"/>
        <w:spacing w:before="240" w:after="100" w:afterAutospacing="1" w:line="360" w:lineRule="auto"/>
        <w:ind w:left="360"/>
        <w:jc w:val="both"/>
      </w:pPr>
      <w:r>
        <w:lastRenderedPageBreak/>
        <w:t xml:space="preserve">Siddique GM, Karamat KA and Hannan A (1999). Prevalence of methicillin resistant </w:t>
      </w:r>
      <w:r>
        <w:rPr>
          <w:i/>
        </w:rPr>
        <w:t>staphylococcus aureus</w:t>
      </w:r>
      <w:r>
        <w:t xml:space="preserve">: a study at PAF Hospital Sargodha. </w:t>
      </w:r>
      <w:r>
        <w:rPr>
          <w:i/>
        </w:rPr>
        <w:t>Pak. J. Pathol.</w:t>
      </w:r>
      <w:r>
        <w:t xml:space="preserve"> 10: 26 - 28.</w:t>
      </w:r>
    </w:p>
    <w:p w:rsidR="003F19AA" w:rsidRDefault="003F19AA" w:rsidP="00CE30DA">
      <w:pPr>
        <w:pStyle w:val="Default"/>
        <w:tabs>
          <w:tab w:val="left" w:pos="990"/>
        </w:tabs>
        <w:spacing w:before="240" w:after="100" w:afterAutospacing="1" w:line="360" w:lineRule="auto"/>
        <w:ind w:left="360"/>
        <w:jc w:val="both"/>
        <w:rPr>
          <w:rFonts w:ascii="Times New Roman" w:hAnsi="Times New Roman" w:cs="Times New Roman"/>
          <w:color w:val="auto"/>
        </w:rPr>
      </w:pPr>
      <w:r>
        <w:rPr>
          <w:rFonts w:ascii="Times New Roman" w:hAnsi="Times New Roman" w:cs="Times New Roman"/>
          <w:color w:val="auto"/>
        </w:rPr>
        <w:t xml:space="preserve">Soavi L, Stellini R, Signorini L, Antonini B, Pedroni P, Zanetti L, Annalisa M, Alberto P, Angelo P and Carosi G (2010). Methicillin-resistant </w:t>
      </w:r>
      <w:r>
        <w:rPr>
          <w:rFonts w:ascii="Times New Roman" w:hAnsi="Times New Roman" w:cs="Times New Roman"/>
          <w:i/>
          <w:iCs/>
          <w:color w:val="auto"/>
        </w:rPr>
        <w:t xml:space="preserve">Staphylococcus aureus </w:t>
      </w:r>
      <w:r>
        <w:rPr>
          <w:rFonts w:ascii="Times New Roman" w:hAnsi="Times New Roman" w:cs="Times New Roman"/>
          <w:color w:val="auto"/>
        </w:rPr>
        <w:t xml:space="preserve">ST398, Italy. </w:t>
      </w:r>
      <w:r>
        <w:rPr>
          <w:rFonts w:ascii="Times New Roman" w:hAnsi="Times New Roman" w:cs="Times New Roman"/>
          <w:i/>
          <w:color w:val="auto"/>
        </w:rPr>
        <w:t>Letters, Emerg. Infect. Dis.</w:t>
      </w:r>
      <w:r>
        <w:rPr>
          <w:rFonts w:ascii="Times New Roman" w:hAnsi="Times New Roman" w:cs="Times New Roman"/>
          <w:color w:val="auto"/>
        </w:rPr>
        <w:t xml:space="preserve"> 16(2): 346 - 348.</w:t>
      </w:r>
    </w:p>
    <w:p w:rsidR="003F19AA" w:rsidRDefault="003F19AA" w:rsidP="00CE30DA">
      <w:pPr>
        <w:autoSpaceDE w:val="0"/>
        <w:autoSpaceDN w:val="0"/>
        <w:adjustRightInd w:val="0"/>
        <w:spacing w:before="240" w:after="100" w:afterAutospacing="1" w:line="360" w:lineRule="auto"/>
        <w:ind w:left="360"/>
        <w:jc w:val="both"/>
      </w:pPr>
      <w:r>
        <w:t xml:space="preserve">Tristan A, Bes M, Meugnier H, Lina G, Bozdogan B, Courvalin P, Reverdy ME, Enright MC, Vandenesch F and Etienne J (2007). Global distribution of Panton-Valentine leukocidin-positive methicillin-resistant </w:t>
      </w:r>
      <w:r>
        <w:rPr>
          <w:i/>
        </w:rPr>
        <w:t>Staphylococcus aureus</w:t>
      </w:r>
      <w:r>
        <w:t xml:space="preserve">. </w:t>
      </w:r>
      <w:r>
        <w:rPr>
          <w:i/>
          <w:iCs/>
        </w:rPr>
        <w:t xml:space="preserve">Emerg. Infect. Dis. </w:t>
      </w:r>
      <w:r>
        <w:t>13(4): 594 - 600.</w:t>
      </w:r>
    </w:p>
    <w:p w:rsidR="003F19AA" w:rsidRDefault="003F19AA" w:rsidP="00CE30DA">
      <w:pPr>
        <w:autoSpaceDE w:val="0"/>
        <w:autoSpaceDN w:val="0"/>
        <w:adjustRightInd w:val="0"/>
        <w:spacing w:before="240" w:after="100" w:afterAutospacing="1" w:line="360" w:lineRule="auto"/>
        <w:ind w:left="360"/>
        <w:jc w:val="both"/>
        <w:rPr>
          <w:color w:val="000000"/>
          <w:spacing w:val="-1"/>
          <w:szCs w:val="22"/>
        </w:rPr>
      </w:pPr>
      <w:r>
        <w:t xml:space="preserve">Yao D, Yu FY, Qin ZQ, Chen C, He SS, Chen ZQ, Zhang XQ and Wang L (2010). Molecular characterization of </w:t>
      </w:r>
      <w:r>
        <w:rPr>
          <w:i/>
          <w:iCs/>
        </w:rPr>
        <w:t xml:space="preserve">Staphylococcus aureus </w:t>
      </w:r>
      <w:r>
        <w:t xml:space="preserve">isolates causing skin and soft tissue infections (SSTIs). </w:t>
      </w:r>
      <w:r>
        <w:rPr>
          <w:i/>
          <w:iCs/>
        </w:rPr>
        <w:t xml:space="preserve">BMC Infect. Dis. </w:t>
      </w:r>
      <w:r>
        <w:rPr>
          <w:bCs/>
        </w:rPr>
        <w:t>10</w:t>
      </w:r>
      <w:r>
        <w:t>: 133 - 137.</w:t>
      </w:r>
      <w:r>
        <w:rPr>
          <w:color w:val="000000"/>
          <w:spacing w:val="-1"/>
          <w:szCs w:val="22"/>
        </w:rPr>
        <w:t xml:space="preserve"> </w:t>
      </w:r>
    </w:p>
    <w:p w:rsidR="003F19AA" w:rsidRDefault="003F19AA" w:rsidP="00CE30DA"/>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tabs>
          <w:tab w:val="left" w:pos="4320"/>
        </w:tabs>
        <w:autoSpaceDE w:val="0"/>
        <w:autoSpaceDN w:val="0"/>
        <w:adjustRightInd w:val="0"/>
        <w:spacing w:before="100" w:beforeAutospacing="1" w:after="100" w:afterAutospacing="1" w:line="360" w:lineRule="auto"/>
        <w:jc w:val="both"/>
      </w:pPr>
    </w:p>
    <w:p w:rsidR="003F19AA" w:rsidRDefault="003F19AA">
      <w:pPr>
        <w:widowControl w:val="0"/>
        <w:autoSpaceDE w:val="0"/>
        <w:autoSpaceDN w:val="0"/>
        <w:adjustRightInd w:val="0"/>
        <w:spacing w:line="360" w:lineRule="auto"/>
        <w:jc w:val="both"/>
        <w:rPr>
          <w:color w:val="000000"/>
          <w:spacing w:val="-1"/>
          <w:szCs w:val="22"/>
        </w:rPr>
      </w:pPr>
    </w:p>
    <w:p w:rsidR="003F19AA" w:rsidRDefault="003F19AA">
      <w:pPr>
        <w:tabs>
          <w:tab w:val="left" w:pos="5850"/>
        </w:tabs>
      </w:pPr>
      <w:r>
        <w:t>Table 1: MRSA isolated from different clinical samples of hospitals of Kohat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71"/>
        <w:gridCol w:w="1771"/>
        <w:gridCol w:w="1771"/>
        <w:gridCol w:w="1771"/>
      </w:tblGrid>
      <w:tr w:rsidR="003F19AA">
        <w:tblPrEx>
          <w:tblCellMar>
            <w:top w:w="0" w:type="dxa"/>
            <w:bottom w:w="0" w:type="dxa"/>
          </w:tblCellMar>
        </w:tblPrEx>
        <w:trPr>
          <w:cantSplit/>
          <w:trHeight w:val="451"/>
        </w:trPr>
        <w:tc>
          <w:tcPr>
            <w:tcW w:w="1771" w:type="dxa"/>
            <w:vMerge w:val="restart"/>
          </w:tcPr>
          <w:p w:rsidR="003F19AA" w:rsidRDefault="003F19AA">
            <w:pPr>
              <w:tabs>
                <w:tab w:val="left" w:pos="5850"/>
              </w:tabs>
              <w:jc w:val="center"/>
            </w:pPr>
            <w:r>
              <w:t>Clinical Samples</w:t>
            </w:r>
          </w:p>
        </w:tc>
        <w:tc>
          <w:tcPr>
            <w:tcW w:w="3542" w:type="dxa"/>
            <w:gridSpan w:val="2"/>
          </w:tcPr>
          <w:p w:rsidR="003F19AA" w:rsidRDefault="003F19AA">
            <w:pPr>
              <w:tabs>
                <w:tab w:val="left" w:pos="5850"/>
              </w:tabs>
              <w:jc w:val="center"/>
            </w:pPr>
            <w:r>
              <w:t>Number of MRSA isolates</w:t>
            </w:r>
          </w:p>
        </w:tc>
        <w:tc>
          <w:tcPr>
            <w:tcW w:w="1771" w:type="dxa"/>
            <w:vMerge w:val="restart"/>
          </w:tcPr>
          <w:p w:rsidR="003F19AA" w:rsidRDefault="003F19AA">
            <w:pPr>
              <w:tabs>
                <w:tab w:val="left" w:pos="5850"/>
              </w:tabs>
              <w:jc w:val="center"/>
            </w:pPr>
          </w:p>
          <w:p w:rsidR="003F19AA" w:rsidRDefault="003F19AA">
            <w:pPr>
              <w:tabs>
                <w:tab w:val="left" w:pos="5850"/>
              </w:tabs>
              <w:jc w:val="center"/>
            </w:pPr>
            <w:r>
              <w:t>Total (%)</w:t>
            </w:r>
          </w:p>
        </w:tc>
      </w:tr>
      <w:tr w:rsidR="003F19AA">
        <w:tblPrEx>
          <w:tblCellMar>
            <w:top w:w="0" w:type="dxa"/>
            <w:bottom w:w="0" w:type="dxa"/>
          </w:tblCellMar>
        </w:tblPrEx>
        <w:trPr>
          <w:cantSplit/>
          <w:trHeight w:val="100"/>
        </w:trPr>
        <w:tc>
          <w:tcPr>
            <w:tcW w:w="1771" w:type="dxa"/>
            <w:vMerge/>
          </w:tcPr>
          <w:p w:rsidR="003F19AA" w:rsidRDefault="003F19AA">
            <w:pPr>
              <w:tabs>
                <w:tab w:val="left" w:pos="5850"/>
              </w:tabs>
              <w:jc w:val="center"/>
            </w:pPr>
          </w:p>
        </w:tc>
        <w:tc>
          <w:tcPr>
            <w:tcW w:w="1771" w:type="dxa"/>
          </w:tcPr>
          <w:p w:rsidR="003F19AA" w:rsidRDefault="003F19AA">
            <w:pPr>
              <w:tabs>
                <w:tab w:val="left" w:pos="5850"/>
              </w:tabs>
              <w:jc w:val="center"/>
            </w:pPr>
            <w:r>
              <w:t>KDA Hospital</w:t>
            </w:r>
          </w:p>
        </w:tc>
        <w:tc>
          <w:tcPr>
            <w:tcW w:w="1771" w:type="dxa"/>
          </w:tcPr>
          <w:p w:rsidR="003F19AA" w:rsidRDefault="003F19AA">
            <w:pPr>
              <w:tabs>
                <w:tab w:val="left" w:pos="5850"/>
              </w:tabs>
              <w:jc w:val="center"/>
            </w:pPr>
            <w:r>
              <w:t>Liaqat Hospital</w:t>
            </w:r>
          </w:p>
        </w:tc>
        <w:tc>
          <w:tcPr>
            <w:tcW w:w="1771" w:type="dxa"/>
            <w:vMerge/>
          </w:tcPr>
          <w:p w:rsidR="003F19AA" w:rsidRDefault="003F19AA">
            <w:pPr>
              <w:tabs>
                <w:tab w:val="left" w:pos="5850"/>
              </w:tabs>
              <w:jc w:val="center"/>
            </w:pPr>
          </w:p>
        </w:tc>
      </w:tr>
      <w:tr w:rsidR="003F19AA">
        <w:tblPrEx>
          <w:tblCellMar>
            <w:top w:w="0" w:type="dxa"/>
            <w:bottom w:w="0" w:type="dxa"/>
          </w:tblCellMar>
        </w:tblPrEx>
        <w:tc>
          <w:tcPr>
            <w:tcW w:w="1771" w:type="dxa"/>
          </w:tcPr>
          <w:p w:rsidR="003F19AA" w:rsidRDefault="003F19AA">
            <w:pPr>
              <w:tabs>
                <w:tab w:val="left" w:pos="5850"/>
              </w:tabs>
              <w:jc w:val="center"/>
            </w:pPr>
            <w:r>
              <w:t>Blood</w:t>
            </w:r>
          </w:p>
        </w:tc>
        <w:tc>
          <w:tcPr>
            <w:tcW w:w="1771" w:type="dxa"/>
          </w:tcPr>
          <w:p w:rsidR="003F19AA" w:rsidRDefault="003F19AA">
            <w:pPr>
              <w:tabs>
                <w:tab w:val="left" w:pos="5850"/>
              </w:tabs>
              <w:jc w:val="center"/>
            </w:pPr>
            <w:r>
              <w:t>19</w:t>
            </w:r>
          </w:p>
        </w:tc>
        <w:tc>
          <w:tcPr>
            <w:tcW w:w="1771" w:type="dxa"/>
          </w:tcPr>
          <w:p w:rsidR="003F19AA" w:rsidRDefault="003F19AA">
            <w:pPr>
              <w:tabs>
                <w:tab w:val="left" w:pos="5850"/>
              </w:tabs>
              <w:jc w:val="center"/>
            </w:pPr>
            <w:r>
              <w:t>8</w:t>
            </w:r>
          </w:p>
        </w:tc>
        <w:tc>
          <w:tcPr>
            <w:tcW w:w="1771" w:type="dxa"/>
          </w:tcPr>
          <w:p w:rsidR="003F19AA" w:rsidRDefault="003F19AA">
            <w:pPr>
              <w:tabs>
                <w:tab w:val="left" w:pos="5850"/>
              </w:tabs>
              <w:jc w:val="center"/>
            </w:pPr>
            <w:r>
              <w:t>27 (14.13)</w:t>
            </w:r>
          </w:p>
        </w:tc>
      </w:tr>
      <w:tr w:rsidR="003F19AA">
        <w:tblPrEx>
          <w:tblCellMar>
            <w:top w:w="0" w:type="dxa"/>
            <w:bottom w:w="0" w:type="dxa"/>
          </w:tblCellMar>
        </w:tblPrEx>
        <w:tc>
          <w:tcPr>
            <w:tcW w:w="1771" w:type="dxa"/>
          </w:tcPr>
          <w:p w:rsidR="003F19AA" w:rsidRDefault="003F19AA">
            <w:pPr>
              <w:tabs>
                <w:tab w:val="left" w:pos="5850"/>
              </w:tabs>
              <w:jc w:val="center"/>
            </w:pPr>
            <w:r>
              <w:t>Urine</w:t>
            </w:r>
          </w:p>
        </w:tc>
        <w:tc>
          <w:tcPr>
            <w:tcW w:w="1771" w:type="dxa"/>
          </w:tcPr>
          <w:p w:rsidR="003F19AA" w:rsidRDefault="003F19AA">
            <w:pPr>
              <w:tabs>
                <w:tab w:val="left" w:pos="5850"/>
              </w:tabs>
              <w:jc w:val="center"/>
            </w:pPr>
            <w:r>
              <w:t>15</w:t>
            </w:r>
          </w:p>
        </w:tc>
        <w:tc>
          <w:tcPr>
            <w:tcW w:w="1771" w:type="dxa"/>
          </w:tcPr>
          <w:p w:rsidR="003F19AA" w:rsidRDefault="003F19AA">
            <w:pPr>
              <w:tabs>
                <w:tab w:val="left" w:pos="5850"/>
              </w:tabs>
              <w:jc w:val="center"/>
            </w:pPr>
            <w:r>
              <w:t>12</w:t>
            </w:r>
          </w:p>
        </w:tc>
        <w:tc>
          <w:tcPr>
            <w:tcW w:w="1771" w:type="dxa"/>
          </w:tcPr>
          <w:p w:rsidR="003F19AA" w:rsidRDefault="003F19AA">
            <w:pPr>
              <w:tabs>
                <w:tab w:val="left" w:pos="5850"/>
              </w:tabs>
              <w:jc w:val="center"/>
            </w:pPr>
            <w:r>
              <w:t>27 (14.13)</w:t>
            </w:r>
          </w:p>
        </w:tc>
      </w:tr>
      <w:tr w:rsidR="003F19AA">
        <w:tblPrEx>
          <w:tblCellMar>
            <w:top w:w="0" w:type="dxa"/>
            <w:bottom w:w="0" w:type="dxa"/>
          </w:tblCellMar>
        </w:tblPrEx>
        <w:tc>
          <w:tcPr>
            <w:tcW w:w="1771" w:type="dxa"/>
          </w:tcPr>
          <w:p w:rsidR="003F19AA" w:rsidRDefault="003F19AA">
            <w:pPr>
              <w:tabs>
                <w:tab w:val="left" w:pos="5850"/>
              </w:tabs>
              <w:jc w:val="center"/>
            </w:pPr>
            <w:r>
              <w:t>Pus</w:t>
            </w:r>
          </w:p>
        </w:tc>
        <w:tc>
          <w:tcPr>
            <w:tcW w:w="1771" w:type="dxa"/>
          </w:tcPr>
          <w:p w:rsidR="003F19AA" w:rsidRDefault="003F19AA">
            <w:pPr>
              <w:tabs>
                <w:tab w:val="left" w:pos="5850"/>
              </w:tabs>
              <w:jc w:val="center"/>
            </w:pPr>
            <w:r>
              <w:t>23</w:t>
            </w:r>
          </w:p>
        </w:tc>
        <w:tc>
          <w:tcPr>
            <w:tcW w:w="1771" w:type="dxa"/>
          </w:tcPr>
          <w:p w:rsidR="003F19AA" w:rsidRDefault="003F19AA">
            <w:pPr>
              <w:tabs>
                <w:tab w:val="left" w:pos="5850"/>
              </w:tabs>
              <w:jc w:val="center"/>
            </w:pPr>
            <w:r>
              <w:t>18</w:t>
            </w:r>
          </w:p>
        </w:tc>
        <w:tc>
          <w:tcPr>
            <w:tcW w:w="1771" w:type="dxa"/>
          </w:tcPr>
          <w:p w:rsidR="003F19AA" w:rsidRDefault="003F19AA">
            <w:pPr>
              <w:tabs>
                <w:tab w:val="left" w:pos="5850"/>
              </w:tabs>
              <w:jc w:val="center"/>
            </w:pPr>
            <w:r>
              <w:t>41 (21.46)</w:t>
            </w:r>
          </w:p>
        </w:tc>
      </w:tr>
      <w:tr w:rsidR="003F19AA">
        <w:tblPrEx>
          <w:tblCellMar>
            <w:top w:w="0" w:type="dxa"/>
            <w:bottom w:w="0" w:type="dxa"/>
          </w:tblCellMar>
        </w:tblPrEx>
        <w:tc>
          <w:tcPr>
            <w:tcW w:w="1771" w:type="dxa"/>
          </w:tcPr>
          <w:p w:rsidR="003F19AA" w:rsidRDefault="003F19AA">
            <w:pPr>
              <w:tabs>
                <w:tab w:val="left" w:pos="5850"/>
              </w:tabs>
              <w:jc w:val="center"/>
            </w:pPr>
            <w:r>
              <w:t>HVS</w:t>
            </w:r>
          </w:p>
        </w:tc>
        <w:tc>
          <w:tcPr>
            <w:tcW w:w="1771" w:type="dxa"/>
          </w:tcPr>
          <w:p w:rsidR="003F19AA" w:rsidRDefault="003F19AA">
            <w:pPr>
              <w:tabs>
                <w:tab w:val="left" w:pos="5850"/>
              </w:tabs>
              <w:jc w:val="center"/>
            </w:pPr>
            <w:r>
              <w:t>6</w:t>
            </w:r>
          </w:p>
        </w:tc>
        <w:tc>
          <w:tcPr>
            <w:tcW w:w="1771" w:type="dxa"/>
          </w:tcPr>
          <w:p w:rsidR="003F19AA" w:rsidRDefault="003F19AA">
            <w:pPr>
              <w:tabs>
                <w:tab w:val="left" w:pos="5850"/>
              </w:tabs>
              <w:jc w:val="center"/>
            </w:pPr>
            <w:r>
              <w:t>0</w:t>
            </w:r>
          </w:p>
        </w:tc>
        <w:tc>
          <w:tcPr>
            <w:tcW w:w="1771" w:type="dxa"/>
          </w:tcPr>
          <w:p w:rsidR="003F19AA" w:rsidRDefault="003F19AA">
            <w:pPr>
              <w:tabs>
                <w:tab w:val="left" w:pos="5850"/>
              </w:tabs>
              <w:jc w:val="center"/>
            </w:pPr>
            <w:r>
              <w:t>6 (3.14)</w:t>
            </w:r>
          </w:p>
        </w:tc>
      </w:tr>
      <w:tr w:rsidR="003F19AA">
        <w:tblPrEx>
          <w:tblCellMar>
            <w:top w:w="0" w:type="dxa"/>
            <w:bottom w:w="0" w:type="dxa"/>
          </w:tblCellMar>
        </w:tblPrEx>
        <w:tc>
          <w:tcPr>
            <w:tcW w:w="1771" w:type="dxa"/>
          </w:tcPr>
          <w:p w:rsidR="003F19AA" w:rsidRDefault="003F19AA">
            <w:pPr>
              <w:tabs>
                <w:tab w:val="left" w:pos="5850"/>
              </w:tabs>
              <w:jc w:val="center"/>
            </w:pPr>
            <w:r>
              <w:t>Throat</w:t>
            </w:r>
          </w:p>
        </w:tc>
        <w:tc>
          <w:tcPr>
            <w:tcW w:w="1771" w:type="dxa"/>
          </w:tcPr>
          <w:p w:rsidR="003F19AA" w:rsidRDefault="003F19AA">
            <w:pPr>
              <w:tabs>
                <w:tab w:val="left" w:pos="5850"/>
              </w:tabs>
              <w:jc w:val="center"/>
            </w:pPr>
            <w:r>
              <w:t>13</w:t>
            </w:r>
          </w:p>
        </w:tc>
        <w:tc>
          <w:tcPr>
            <w:tcW w:w="1771" w:type="dxa"/>
          </w:tcPr>
          <w:p w:rsidR="003F19AA" w:rsidRDefault="003F19AA">
            <w:pPr>
              <w:tabs>
                <w:tab w:val="left" w:pos="5850"/>
              </w:tabs>
              <w:jc w:val="center"/>
            </w:pPr>
            <w:r>
              <w:t>13</w:t>
            </w:r>
          </w:p>
        </w:tc>
        <w:tc>
          <w:tcPr>
            <w:tcW w:w="1771" w:type="dxa"/>
          </w:tcPr>
          <w:p w:rsidR="003F19AA" w:rsidRDefault="003F19AA">
            <w:pPr>
              <w:tabs>
                <w:tab w:val="left" w:pos="5850"/>
              </w:tabs>
              <w:jc w:val="center"/>
            </w:pPr>
            <w:r>
              <w:t>26 (13.61)</w:t>
            </w:r>
          </w:p>
        </w:tc>
      </w:tr>
      <w:tr w:rsidR="003F19AA">
        <w:tblPrEx>
          <w:tblCellMar>
            <w:top w:w="0" w:type="dxa"/>
            <w:bottom w:w="0" w:type="dxa"/>
          </w:tblCellMar>
        </w:tblPrEx>
        <w:tc>
          <w:tcPr>
            <w:tcW w:w="1771" w:type="dxa"/>
          </w:tcPr>
          <w:p w:rsidR="003F19AA" w:rsidRDefault="003F19AA">
            <w:pPr>
              <w:tabs>
                <w:tab w:val="left" w:pos="5850"/>
              </w:tabs>
              <w:jc w:val="center"/>
            </w:pPr>
            <w:r>
              <w:t>Wound</w:t>
            </w:r>
          </w:p>
        </w:tc>
        <w:tc>
          <w:tcPr>
            <w:tcW w:w="1771" w:type="dxa"/>
          </w:tcPr>
          <w:p w:rsidR="003F19AA" w:rsidRDefault="003F19AA">
            <w:pPr>
              <w:tabs>
                <w:tab w:val="left" w:pos="5850"/>
              </w:tabs>
              <w:jc w:val="center"/>
            </w:pPr>
            <w:r>
              <w:t>26</w:t>
            </w:r>
          </w:p>
        </w:tc>
        <w:tc>
          <w:tcPr>
            <w:tcW w:w="1771" w:type="dxa"/>
          </w:tcPr>
          <w:p w:rsidR="003F19AA" w:rsidRDefault="003F19AA">
            <w:pPr>
              <w:tabs>
                <w:tab w:val="left" w:pos="5850"/>
              </w:tabs>
              <w:jc w:val="center"/>
            </w:pPr>
            <w:r>
              <w:t>20</w:t>
            </w:r>
          </w:p>
        </w:tc>
        <w:tc>
          <w:tcPr>
            <w:tcW w:w="1771" w:type="dxa"/>
          </w:tcPr>
          <w:p w:rsidR="003F19AA" w:rsidRDefault="003F19AA">
            <w:pPr>
              <w:tabs>
                <w:tab w:val="left" w:pos="5850"/>
              </w:tabs>
              <w:jc w:val="center"/>
            </w:pPr>
            <w:r>
              <w:t>46 (24.08)</w:t>
            </w:r>
          </w:p>
        </w:tc>
      </w:tr>
      <w:tr w:rsidR="003F19AA">
        <w:tblPrEx>
          <w:tblCellMar>
            <w:top w:w="0" w:type="dxa"/>
            <w:bottom w:w="0" w:type="dxa"/>
          </w:tblCellMar>
        </w:tblPrEx>
        <w:tc>
          <w:tcPr>
            <w:tcW w:w="1771" w:type="dxa"/>
          </w:tcPr>
          <w:p w:rsidR="003F19AA" w:rsidRDefault="003F19AA">
            <w:pPr>
              <w:tabs>
                <w:tab w:val="left" w:pos="5850"/>
              </w:tabs>
              <w:jc w:val="center"/>
            </w:pPr>
            <w:r>
              <w:t>Sputum</w:t>
            </w:r>
          </w:p>
        </w:tc>
        <w:tc>
          <w:tcPr>
            <w:tcW w:w="1771" w:type="dxa"/>
          </w:tcPr>
          <w:p w:rsidR="003F19AA" w:rsidRDefault="003F19AA">
            <w:pPr>
              <w:tabs>
                <w:tab w:val="left" w:pos="5850"/>
              </w:tabs>
              <w:jc w:val="center"/>
            </w:pPr>
            <w:r>
              <w:t>11</w:t>
            </w:r>
          </w:p>
        </w:tc>
        <w:tc>
          <w:tcPr>
            <w:tcW w:w="1771" w:type="dxa"/>
          </w:tcPr>
          <w:p w:rsidR="003F19AA" w:rsidRDefault="003F19AA">
            <w:pPr>
              <w:tabs>
                <w:tab w:val="left" w:pos="5850"/>
              </w:tabs>
              <w:jc w:val="center"/>
            </w:pPr>
            <w:r>
              <w:t>7</w:t>
            </w:r>
          </w:p>
        </w:tc>
        <w:tc>
          <w:tcPr>
            <w:tcW w:w="1771" w:type="dxa"/>
          </w:tcPr>
          <w:p w:rsidR="003F19AA" w:rsidRDefault="003F19AA">
            <w:pPr>
              <w:tabs>
                <w:tab w:val="left" w:pos="5850"/>
              </w:tabs>
              <w:jc w:val="center"/>
            </w:pPr>
            <w:r>
              <w:t>18 (9.42)</w:t>
            </w:r>
          </w:p>
        </w:tc>
      </w:tr>
      <w:tr w:rsidR="003F19AA">
        <w:tblPrEx>
          <w:tblCellMar>
            <w:top w:w="0" w:type="dxa"/>
            <w:bottom w:w="0" w:type="dxa"/>
          </w:tblCellMar>
        </w:tblPrEx>
        <w:tc>
          <w:tcPr>
            <w:tcW w:w="1771" w:type="dxa"/>
          </w:tcPr>
          <w:p w:rsidR="003F19AA" w:rsidRDefault="003F19AA">
            <w:pPr>
              <w:tabs>
                <w:tab w:val="left" w:pos="5850"/>
              </w:tabs>
              <w:jc w:val="center"/>
            </w:pPr>
            <w:r>
              <w:t xml:space="preserve">Total </w:t>
            </w:r>
          </w:p>
        </w:tc>
        <w:tc>
          <w:tcPr>
            <w:tcW w:w="1771" w:type="dxa"/>
          </w:tcPr>
          <w:p w:rsidR="003F19AA" w:rsidRDefault="003F19AA">
            <w:pPr>
              <w:tabs>
                <w:tab w:val="left" w:pos="5850"/>
              </w:tabs>
              <w:jc w:val="center"/>
            </w:pPr>
            <w:r>
              <w:t>113</w:t>
            </w:r>
          </w:p>
        </w:tc>
        <w:tc>
          <w:tcPr>
            <w:tcW w:w="1771" w:type="dxa"/>
          </w:tcPr>
          <w:p w:rsidR="003F19AA" w:rsidRDefault="003F19AA">
            <w:pPr>
              <w:tabs>
                <w:tab w:val="left" w:pos="5850"/>
              </w:tabs>
              <w:jc w:val="center"/>
            </w:pPr>
            <w:r>
              <w:t>78</w:t>
            </w:r>
          </w:p>
        </w:tc>
        <w:tc>
          <w:tcPr>
            <w:tcW w:w="1771" w:type="dxa"/>
          </w:tcPr>
          <w:p w:rsidR="003F19AA" w:rsidRDefault="003F19AA">
            <w:pPr>
              <w:tabs>
                <w:tab w:val="left" w:pos="5850"/>
              </w:tabs>
              <w:jc w:val="center"/>
            </w:pPr>
            <w:r>
              <w:t>191 (100)</w:t>
            </w:r>
          </w:p>
        </w:tc>
      </w:tr>
    </w:tbl>
    <w:p w:rsidR="003F19AA" w:rsidRDefault="003F19AA">
      <w:pPr>
        <w:tabs>
          <w:tab w:val="left" w:pos="5850"/>
        </w:tabs>
        <w:jc w:val="center"/>
      </w:pPr>
    </w:p>
    <w:p w:rsidR="003F19AA" w:rsidRDefault="003F19AA">
      <w:pPr>
        <w:spacing w:before="480"/>
        <w:jc w:val="center"/>
        <w:rPr>
          <w:i/>
        </w:rPr>
      </w:pPr>
      <w:r>
        <w:t>Table 2. Antibio</w:t>
      </w:r>
      <w:r w:rsidR="000A35C7">
        <w:t>tic sensitivity pattern of Methi</w:t>
      </w:r>
      <w:r>
        <w:t xml:space="preserve">cillin Resistant </w:t>
      </w:r>
      <w:r>
        <w:rPr>
          <w:i/>
        </w:rPr>
        <w:t>Staphylococcus aureus</w:t>
      </w:r>
    </w:p>
    <w:tbl>
      <w:tblPr>
        <w:tblW w:w="45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3"/>
        <w:gridCol w:w="752"/>
        <w:gridCol w:w="587"/>
        <w:gridCol w:w="1264"/>
        <w:gridCol w:w="671"/>
        <w:gridCol w:w="722"/>
        <w:gridCol w:w="1253"/>
        <w:gridCol w:w="21"/>
        <w:gridCol w:w="749"/>
      </w:tblGrid>
      <w:tr w:rsidR="003F19AA">
        <w:trPr>
          <w:cantSplit/>
          <w:trHeight w:val="368"/>
          <w:jc w:val="center"/>
        </w:trPr>
        <w:tc>
          <w:tcPr>
            <w:tcW w:w="1248" w:type="pct"/>
            <w:vMerge w:val="restart"/>
            <w:shd w:val="clear" w:color="000000" w:fill="FFFFFF"/>
            <w:noWrap/>
            <w:vAlign w:val="center"/>
          </w:tcPr>
          <w:p w:rsidR="003F19AA" w:rsidRDefault="003F19AA">
            <w:pPr>
              <w:jc w:val="center"/>
              <w:rPr>
                <w:b/>
                <w:bCs/>
                <w:color w:val="000000"/>
              </w:rPr>
            </w:pPr>
            <w:r>
              <w:rPr>
                <w:b/>
                <w:bCs/>
                <w:color w:val="000000"/>
              </w:rPr>
              <w:t>Antibiotic</w:t>
            </w:r>
          </w:p>
        </w:tc>
        <w:tc>
          <w:tcPr>
            <w:tcW w:w="1622" w:type="pct"/>
            <w:gridSpan w:val="3"/>
            <w:noWrap/>
            <w:vAlign w:val="center"/>
          </w:tcPr>
          <w:p w:rsidR="003F19AA" w:rsidRDefault="003F19AA">
            <w:pPr>
              <w:jc w:val="center"/>
              <w:rPr>
                <w:color w:val="000000"/>
              </w:rPr>
            </w:pPr>
            <w:r>
              <w:rPr>
                <w:color w:val="000000"/>
              </w:rPr>
              <w:t>DHQ, Hospital KDA</w:t>
            </w:r>
          </w:p>
          <w:p w:rsidR="003F19AA" w:rsidRDefault="003F19AA">
            <w:pPr>
              <w:jc w:val="center"/>
              <w:rPr>
                <w:color w:val="000000"/>
              </w:rPr>
            </w:pPr>
            <w:r>
              <w:rPr>
                <w:color w:val="000000"/>
              </w:rPr>
              <w:t>n=113</w:t>
            </w:r>
          </w:p>
        </w:tc>
        <w:tc>
          <w:tcPr>
            <w:tcW w:w="1662" w:type="pct"/>
            <w:gridSpan w:val="4"/>
            <w:noWrap/>
            <w:vAlign w:val="center"/>
          </w:tcPr>
          <w:p w:rsidR="003F19AA" w:rsidRDefault="003F19AA">
            <w:pPr>
              <w:jc w:val="center"/>
              <w:rPr>
                <w:color w:val="000000"/>
              </w:rPr>
            </w:pPr>
          </w:p>
          <w:p w:rsidR="003F19AA" w:rsidRDefault="003F19AA">
            <w:pPr>
              <w:jc w:val="center"/>
              <w:rPr>
                <w:color w:val="000000"/>
              </w:rPr>
            </w:pPr>
            <w:r>
              <w:rPr>
                <w:color w:val="000000"/>
              </w:rPr>
              <w:t>Liaqat Mem. Hospital</w:t>
            </w:r>
          </w:p>
          <w:p w:rsidR="003F19AA" w:rsidRDefault="003F19AA">
            <w:pPr>
              <w:jc w:val="center"/>
              <w:rPr>
                <w:color w:val="000000"/>
              </w:rPr>
            </w:pPr>
            <w:r>
              <w:rPr>
                <w:color w:val="000000"/>
              </w:rPr>
              <w:t>n=78</w:t>
            </w:r>
          </w:p>
          <w:p w:rsidR="003F19AA" w:rsidRDefault="003F19AA">
            <w:pPr>
              <w:rPr>
                <w:color w:val="000000"/>
              </w:rPr>
            </w:pPr>
          </w:p>
          <w:p w:rsidR="003F19AA" w:rsidRDefault="003F19AA">
            <w:pPr>
              <w:jc w:val="center"/>
              <w:rPr>
                <w:color w:val="000000"/>
              </w:rPr>
            </w:pPr>
          </w:p>
        </w:tc>
        <w:tc>
          <w:tcPr>
            <w:tcW w:w="467" w:type="pct"/>
            <w:vAlign w:val="center"/>
          </w:tcPr>
          <w:p w:rsidR="003F19AA" w:rsidRDefault="003F19AA">
            <w:pPr>
              <w:rPr>
                <w:color w:val="000000"/>
                <w:sz w:val="20"/>
              </w:rPr>
            </w:pPr>
            <w:r>
              <w:rPr>
                <w:color w:val="000000"/>
                <w:sz w:val="20"/>
              </w:rPr>
              <w:t>n=191</w:t>
            </w:r>
          </w:p>
          <w:p w:rsidR="003F19AA" w:rsidRDefault="003F19AA">
            <w:pPr>
              <w:rPr>
                <w:color w:val="000000"/>
              </w:rPr>
            </w:pPr>
          </w:p>
          <w:p w:rsidR="003F19AA" w:rsidRDefault="003F19AA">
            <w:pPr>
              <w:rPr>
                <w:color w:val="000000"/>
              </w:rPr>
            </w:pPr>
          </w:p>
          <w:p w:rsidR="003F19AA" w:rsidRDefault="003F19AA">
            <w:pPr>
              <w:jc w:val="center"/>
              <w:rPr>
                <w:color w:val="000000"/>
              </w:rPr>
            </w:pPr>
          </w:p>
        </w:tc>
      </w:tr>
      <w:tr w:rsidR="003F19AA">
        <w:trPr>
          <w:cantSplit/>
          <w:trHeight w:val="368"/>
          <w:jc w:val="center"/>
        </w:trPr>
        <w:tc>
          <w:tcPr>
            <w:tcW w:w="1248" w:type="pct"/>
            <w:vMerge/>
            <w:vAlign w:val="center"/>
          </w:tcPr>
          <w:p w:rsidR="003F19AA" w:rsidRDefault="003F19AA">
            <w:pPr>
              <w:rPr>
                <w:b/>
                <w:bCs/>
                <w:color w:val="000000"/>
              </w:rPr>
            </w:pPr>
          </w:p>
        </w:tc>
        <w:tc>
          <w:tcPr>
            <w:tcW w:w="469" w:type="pct"/>
            <w:noWrap/>
            <w:vAlign w:val="bottom"/>
          </w:tcPr>
          <w:p w:rsidR="003F19AA" w:rsidRDefault="003F19AA">
            <w:pPr>
              <w:rPr>
                <w:color w:val="000000"/>
              </w:rPr>
            </w:pPr>
            <w:r>
              <w:rPr>
                <w:vertAlign w:val="superscript"/>
              </w:rPr>
              <w:t>**</w:t>
            </w:r>
            <w:r>
              <w:rPr>
                <w:color w:val="000000"/>
              </w:rPr>
              <w:t>S</w:t>
            </w:r>
          </w:p>
        </w:tc>
        <w:tc>
          <w:tcPr>
            <w:tcW w:w="366" w:type="pct"/>
            <w:noWrap/>
            <w:vAlign w:val="bottom"/>
          </w:tcPr>
          <w:p w:rsidR="003F19AA" w:rsidRDefault="003F19AA">
            <w:pPr>
              <w:rPr>
                <w:color w:val="000000"/>
              </w:rPr>
            </w:pPr>
            <w:r>
              <w:rPr>
                <w:vertAlign w:val="superscript"/>
              </w:rPr>
              <w:t>*</w:t>
            </w:r>
            <w:r>
              <w:rPr>
                <w:color w:val="000000"/>
              </w:rPr>
              <w:t>R</w:t>
            </w:r>
          </w:p>
        </w:tc>
        <w:tc>
          <w:tcPr>
            <w:tcW w:w="788" w:type="pct"/>
            <w:noWrap/>
            <w:vAlign w:val="bottom"/>
          </w:tcPr>
          <w:p w:rsidR="003F19AA" w:rsidRDefault="003F19AA">
            <w:pPr>
              <w:rPr>
                <w:color w:val="000000"/>
              </w:rPr>
            </w:pPr>
            <w:r>
              <w:rPr>
                <w:color w:val="000000"/>
              </w:rPr>
              <w:t>Percent Sensitive (%)</w:t>
            </w:r>
          </w:p>
        </w:tc>
        <w:tc>
          <w:tcPr>
            <w:tcW w:w="418" w:type="pct"/>
            <w:noWrap/>
            <w:vAlign w:val="bottom"/>
          </w:tcPr>
          <w:p w:rsidR="003F19AA" w:rsidRDefault="003F19AA">
            <w:pPr>
              <w:rPr>
                <w:color w:val="000000"/>
              </w:rPr>
            </w:pPr>
            <w:r>
              <w:rPr>
                <w:color w:val="000000"/>
              </w:rPr>
              <w:t>S</w:t>
            </w:r>
          </w:p>
        </w:tc>
        <w:tc>
          <w:tcPr>
            <w:tcW w:w="450" w:type="pct"/>
            <w:noWrap/>
            <w:vAlign w:val="bottom"/>
          </w:tcPr>
          <w:p w:rsidR="003F19AA" w:rsidRDefault="003F19AA">
            <w:pPr>
              <w:rPr>
                <w:color w:val="000000"/>
              </w:rPr>
            </w:pPr>
            <w:r>
              <w:rPr>
                <w:color w:val="000000"/>
              </w:rPr>
              <w:t>R</w:t>
            </w:r>
          </w:p>
        </w:tc>
        <w:tc>
          <w:tcPr>
            <w:tcW w:w="781" w:type="pct"/>
            <w:noWrap/>
            <w:vAlign w:val="bottom"/>
          </w:tcPr>
          <w:p w:rsidR="003F19AA" w:rsidRDefault="003F19AA">
            <w:pPr>
              <w:rPr>
                <w:color w:val="000000"/>
              </w:rPr>
            </w:pPr>
            <w:r>
              <w:rPr>
                <w:color w:val="000000"/>
              </w:rPr>
              <w:t>Percent Sensitive</w:t>
            </w:r>
          </w:p>
          <w:p w:rsidR="003F19AA" w:rsidRDefault="003F19AA">
            <w:pPr>
              <w:rPr>
                <w:color w:val="000000"/>
              </w:rPr>
            </w:pPr>
            <w:r>
              <w:rPr>
                <w:color w:val="000000"/>
              </w:rPr>
              <w:t>(%)</w:t>
            </w:r>
          </w:p>
        </w:tc>
        <w:tc>
          <w:tcPr>
            <w:tcW w:w="480" w:type="pct"/>
            <w:gridSpan w:val="2"/>
            <w:vAlign w:val="bottom"/>
          </w:tcPr>
          <w:p w:rsidR="003F19AA" w:rsidRDefault="003F19AA">
            <w:pPr>
              <w:rPr>
                <w:color w:val="000000"/>
              </w:rPr>
            </w:pPr>
            <w:r>
              <w:rPr>
                <w:color w:val="000000"/>
              </w:rPr>
              <w:t xml:space="preserve">Total (%) </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Amoxicillin</w:t>
            </w:r>
          </w:p>
        </w:tc>
        <w:tc>
          <w:tcPr>
            <w:tcW w:w="469" w:type="pct"/>
            <w:noWrap/>
            <w:vAlign w:val="bottom"/>
          </w:tcPr>
          <w:p w:rsidR="003F19AA" w:rsidRDefault="003F19AA">
            <w:pPr>
              <w:jc w:val="center"/>
              <w:rPr>
                <w:color w:val="000000"/>
              </w:rPr>
            </w:pPr>
            <w:r>
              <w:rPr>
                <w:color w:val="000000"/>
              </w:rPr>
              <w:t>0</w:t>
            </w:r>
          </w:p>
        </w:tc>
        <w:tc>
          <w:tcPr>
            <w:tcW w:w="366" w:type="pct"/>
            <w:noWrap/>
            <w:vAlign w:val="bottom"/>
          </w:tcPr>
          <w:p w:rsidR="003F19AA" w:rsidRDefault="003F19AA">
            <w:pPr>
              <w:jc w:val="center"/>
              <w:rPr>
                <w:color w:val="000000"/>
              </w:rPr>
            </w:pPr>
            <w:r>
              <w:rPr>
                <w:color w:val="000000"/>
              </w:rPr>
              <w:t>113</w:t>
            </w:r>
          </w:p>
        </w:tc>
        <w:tc>
          <w:tcPr>
            <w:tcW w:w="788" w:type="pct"/>
            <w:noWrap/>
            <w:vAlign w:val="bottom"/>
          </w:tcPr>
          <w:p w:rsidR="003F19AA" w:rsidRDefault="003F19AA">
            <w:pPr>
              <w:jc w:val="center"/>
              <w:rPr>
                <w:color w:val="000000"/>
              </w:rPr>
            </w:pPr>
            <w:r>
              <w:rPr>
                <w:color w:val="000000"/>
              </w:rPr>
              <w:t>100</w:t>
            </w:r>
          </w:p>
        </w:tc>
        <w:tc>
          <w:tcPr>
            <w:tcW w:w="418" w:type="pct"/>
            <w:noWrap/>
            <w:vAlign w:val="bottom"/>
          </w:tcPr>
          <w:p w:rsidR="003F19AA" w:rsidRDefault="003F19AA">
            <w:pPr>
              <w:jc w:val="center"/>
              <w:rPr>
                <w:color w:val="000000"/>
              </w:rPr>
            </w:pPr>
            <w:r>
              <w:rPr>
                <w:color w:val="000000"/>
              </w:rPr>
              <w:t>0</w:t>
            </w:r>
          </w:p>
        </w:tc>
        <w:tc>
          <w:tcPr>
            <w:tcW w:w="450" w:type="pct"/>
            <w:noWrap/>
            <w:vAlign w:val="bottom"/>
          </w:tcPr>
          <w:p w:rsidR="003F19AA" w:rsidRDefault="003F19AA">
            <w:pPr>
              <w:jc w:val="center"/>
              <w:rPr>
                <w:color w:val="000000"/>
              </w:rPr>
            </w:pPr>
            <w:r>
              <w:rPr>
                <w:color w:val="000000"/>
              </w:rPr>
              <w:t>100</w:t>
            </w:r>
          </w:p>
        </w:tc>
        <w:tc>
          <w:tcPr>
            <w:tcW w:w="781" w:type="pct"/>
            <w:noWrap/>
            <w:vAlign w:val="bottom"/>
          </w:tcPr>
          <w:p w:rsidR="003F19AA" w:rsidRDefault="003F19AA">
            <w:pPr>
              <w:jc w:val="center"/>
              <w:rPr>
                <w:color w:val="000000"/>
              </w:rPr>
            </w:pPr>
            <w:r>
              <w:rPr>
                <w:color w:val="000000"/>
              </w:rPr>
              <w:t>100</w:t>
            </w:r>
          </w:p>
        </w:tc>
        <w:tc>
          <w:tcPr>
            <w:tcW w:w="480" w:type="pct"/>
            <w:gridSpan w:val="2"/>
            <w:vAlign w:val="bottom"/>
          </w:tcPr>
          <w:p w:rsidR="003F19AA" w:rsidRDefault="003F19AA">
            <w:pPr>
              <w:jc w:val="center"/>
              <w:rPr>
                <w:color w:val="000000"/>
              </w:rPr>
            </w:pPr>
            <w:r>
              <w:rPr>
                <w:color w:val="000000"/>
              </w:rPr>
              <w:t>100</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Cefotaxime</w:t>
            </w:r>
          </w:p>
        </w:tc>
        <w:tc>
          <w:tcPr>
            <w:tcW w:w="469" w:type="pct"/>
            <w:noWrap/>
            <w:vAlign w:val="bottom"/>
          </w:tcPr>
          <w:p w:rsidR="003F19AA" w:rsidRDefault="003F19AA">
            <w:pPr>
              <w:jc w:val="center"/>
              <w:rPr>
                <w:color w:val="000000"/>
              </w:rPr>
            </w:pPr>
            <w:r>
              <w:rPr>
                <w:color w:val="000000"/>
              </w:rPr>
              <w:t>25</w:t>
            </w:r>
          </w:p>
        </w:tc>
        <w:tc>
          <w:tcPr>
            <w:tcW w:w="366" w:type="pct"/>
            <w:noWrap/>
            <w:vAlign w:val="bottom"/>
          </w:tcPr>
          <w:p w:rsidR="003F19AA" w:rsidRDefault="003F19AA">
            <w:pPr>
              <w:jc w:val="center"/>
              <w:rPr>
                <w:color w:val="000000"/>
              </w:rPr>
            </w:pPr>
            <w:r>
              <w:rPr>
                <w:color w:val="000000"/>
              </w:rPr>
              <w:t>88</w:t>
            </w:r>
          </w:p>
        </w:tc>
        <w:tc>
          <w:tcPr>
            <w:tcW w:w="788" w:type="pct"/>
            <w:noWrap/>
            <w:vAlign w:val="bottom"/>
          </w:tcPr>
          <w:p w:rsidR="003F19AA" w:rsidRDefault="003F19AA">
            <w:pPr>
              <w:jc w:val="center"/>
              <w:rPr>
                <w:color w:val="000000"/>
              </w:rPr>
            </w:pPr>
            <w:r>
              <w:rPr>
                <w:color w:val="000000"/>
              </w:rPr>
              <w:t>78</w:t>
            </w:r>
          </w:p>
        </w:tc>
        <w:tc>
          <w:tcPr>
            <w:tcW w:w="418" w:type="pct"/>
            <w:noWrap/>
            <w:vAlign w:val="bottom"/>
          </w:tcPr>
          <w:p w:rsidR="003F19AA" w:rsidRDefault="003F19AA">
            <w:pPr>
              <w:jc w:val="center"/>
              <w:rPr>
                <w:color w:val="000000"/>
              </w:rPr>
            </w:pPr>
            <w:r>
              <w:rPr>
                <w:color w:val="000000"/>
              </w:rPr>
              <w:t>20</w:t>
            </w:r>
          </w:p>
        </w:tc>
        <w:tc>
          <w:tcPr>
            <w:tcW w:w="450" w:type="pct"/>
            <w:noWrap/>
            <w:vAlign w:val="bottom"/>
          </w:tcPr>
          <w:p w:rsidR="003F19AA" w:rsidRDefault="003F19AA">
            <w:pPr>
              <w:jc w:val="center"/>
              <w:rPr>
                <w:color w:val="000000"/>
              </w:rPr>
            </w:pPr>
            <w:r>
              <w:rPr>
                <w:color w:val="000000"/>
              </w:rPr>
              <w:t>58</w:t>
            </w:r>
          </w:p>
        </w:tc>
        <w:tc>
          <w:tcPr>
            <w:tcW w:w="781" w:type="pct"/>
            <w:noWrap/>
            <w:vAlign w:val="bottom"/>
          </w:tcPr>
          <w:p w:rsidR="003F19AA" w:rsidRDefault="003F19AA">
            <w:pPr>
              <w:jc w:val="center"/>
              <w:rPr>
                <w:color w:val="000000"/>
              </w:rPr>
            </w:pPr>
            <w:r>
              <w:rPr>
                <w:color w:val="000000"/>
              </w:rPr>
              <w:t>74.35</w:t>
            </w:r>
          </w:p>
        </w:tc>
        <w:tc>
          <w:tcPr>
            <w:tcW w:w="480" w:type="pct"/>
            <w:gridSpan w:val="2"/>
            <w:vAlign w:val="bottom"/>
          </w:tcPr>
          <w:p w:rsidR="003F19AA" w:rsidRDefault="003F19AA">
            <w:pPr>
              <w:jc w:val="center"/>
              <w:rPr>
                <w:color w:val="000000"/>
              </w:rPr>
            </w:pPr>
            <w:r>
              <w:rPr>
                <w:color w:val="000000"/>
              </w:rPr>
              <w:t>76.43</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Cephradine</w:t>
            </w:r>
          </w:p>
        </w:tc>
        <w:tc>
          <w:tcPr>
            <w:tcW w:w="469" w:type="pct"/>
            <w:noWrap/>
            <w:vAlign w:val="bottom"/>
          </w:tcPr>
          <w:p w:rsidR="003F19AA" w:rsidRDefault="003F19AA">
            <w:pPr>
              <w:jc w:val="center"/>
              <w:rPr>
                <w:color w:val="000000"/>
              </w:rPr>
            </w:pPr>
            <w:r>
              <w:rPr>
                <w:color w:val="000000"/>
              </w:rPr>
              <w:t>37</w:t>
            </w:r>
          </w:p>
        </w:tc>
        <w:tc>
          <w:tcPr>
            <w:tcW w:w="366" w:type="pct"/>
            <w:noWrap/>
            <w:vAlign w:val="bottom"/>
          </w:tcPr>
          <w:p w:rsidR="003F19AA" w:rsidRDefault="003F19AA">
            <w:pPr>
              <w:jc w:val="center"/>
              <w:rPr>
                <w:color w:val="000000"/>
              </w:rPr>
            </w:pPr>
            <w:r>
              <w:rPr>
                <w:color w:val="000000"/>
              </w:rPr>
              <w:t>76</w:t>
            </w:r>
          </w:p>
        </w:tc>
        <w:tc>
          <w:tcPr>
            <w:tcW w:w="788" w:type="pct"/>
            <w:noWrap/>
            <w:vAlign w:val="bottom"/>
          </w:tcPr>
          <w:p w:rsidR="003F19AA" w:rsidRDefault="003F19AA">
            <w:pPr>
              <w:jc w:val="center"/>
              <w:rPr>
                <w:color w:val="000000"/>
              </w:rPr>
            </w:pPr>
            <w:r>
              <w:rPr>
                <w:color w:val="000000"/>
              </w:rPr>
              <w:t>67.25</w:t>
            </w:r>
          </w:p>
        </w:tc>
        <w:tc>
          <w:tcPr>
            <w:tcW w:w="418" w:type="pct"/>
            <w:noWrap/>
            <w:vAlign w:val="bottom"/>
          </w:tcPr>
          <w:p w:rsidR="003F19AA" w:rsidRDefault="003F19AA">
            <w:pPr>
              <w:jc w:val="center"/>
              <w:rPr>
                <w:color w:val="000000"/>
              </w:rPr>
            </w:pPr>
            <w:r>
              <w:rPr>
                <w:color w:val="000000"/>
              </w:rPr>
              <w:t>23</w:t>
            </w:r>
          </w:p>
        </w:tc>
        <w:tc>
          <w:tcPr>
            <w:tcW w:w="450" w:type="pct"/>
            <w:noWrap/>
            <w:vAlign w:val="bottom"/>
          </w:tcPr>
          <w:p w:rsidR="003F19AA" w:rsidRDefault="003F19AA">
            <w:pPr>
              <w:jc w:val="center"/>
              <w:rPr>
                <w:color w:val="000000"/>
              </w:rPr>
            </w:pPr>
            <w:r>
              <w:rPr>
                <w:color w:val="000000"/>
              </w:rPr>
              <w:t>55</w:t>
            </w:r>
          </w:p>
        </w:tc>
        <w:tc>
          <w:tcPr>
            <w:tcW w:w="781" w:type="pct"/>
            <w:noWrap/>
            <w:vAlign w:val="bottom"/>
          </w:tcPr>
          <w:p w:rsidR="003F19AA" w:rsidRDefault="003F19AA">
            <w:pPr>
              <w:jc w:val="center"/>
              <w:rPr>
                <w:color w:val="000000"/>
              </w:rPr>
            </w:pPr>
            <w:r>
              <w:rPr>
                <w:color w:val="000000"/>
              </w:rPr>
              <w:t>70.51</w:t>
            </w:r>
          </w:p>
        </w:tc>
        <w:tc>
          <w:tcPr>
            <w:tcW w:w="480" w:type="pct"/>
            <w:gridSpan w:val="2"/>
            <w:vAlign w:val="bottom"/>
          </w:tcPr>
          <w:p w:rsidR="003F19AA" w:rsidRDefault="003F19AA">
            <w:pPr>
              <w:jc w:val="center"/>
              <w:rPr>
                <w:color w:val="000000"/>
              </w:rPr>
            </w:pPr>
            <w:r>
              <w:rPr>
                <w:color w:val="000000"/>
              </w:rPr>
              <w:t>68.58</w:t>
            </w:r>
          </w:p>
        </w:tc>
      </w:tr>
      <w:tr w:rsidR="003F19AA">
        <w:trPr>
          <w:cantSplit/>
          <w:trHeight w:val="368"/>
          <w:jc w:val="center"/>
        </w:trPr>
        <w:tc>
          <w:tcPr>
            <w:tcW w:w="1248" w:type="pct"/>
            <w:shd w:val="clear" w:color="000000" w:fill="FFFFFF"/>
            <w:noWrap/>
            <w:vAlign w:val="bottom"/>
          </w:tcPr>
          <w:p w:rsidR="003F19AA" w:rsidRDefault="000A35C7">
            <w:pPr>
              <w:rPr>
                <w:color w:val="000000"/>
              </w:rPr>
            </w:pPr>
            <w:r>
              <w:rPr>
                <w:color w:val="000000"/>
              </w:rPr>
              <w:t>Erythromyc</w:t>
            </w:r>
            <w:r w:rsidR="003F19AA">
              <w:rPr>
                <w:color w:val="000000"/>
              </w:rPr>
              <w:t>in</w:t>
            </w:r>
          </w:p>
        </w:tc>
        <w:tc>
          <w:tcPr>
            <w:tcW w:w="469" w:type="pct"/>
            <w:noWrap/>
            <w:vAlign w:val="bottom"/>
          </w:tcPr>
          <w:p w:rsidR="003F19AA" w:rsidRDefault="003F19AA">
            <w:pPr>
              <w:jc w:val="center"/>
              <w:rPr>
                <w:color w:val="000000"/>
              </w:rPr>
            </w:pPr>
            <w:r>
              <w:rPr>
                <w:color w:val="000000"/>
              </w:rPr>
              <w:t>32</w:t>
            </w:r>
          </w:p>
        </w:tc>
        <w:tc>
          <w:tcPr>
            <w:tcW w:w="366" w:type="pct"/>
            <w:noWrap/>
            <w:vAlign w:val="bottom"/>
          </w:tcPr>
          <w:p w:rsidR="003F19AA" w:rsidRDefault="003F19AA">
            <w:pPr>
              <w:jc w:val="center"/>
              <w:rPr>
                <w:color w:val="000000"/>
              </w:rPr>
            </w:pPr>
            <w:r>
              <w:rPr>
                <w:color w:val="000000"/>
              </w:rPr>
              <w:t>81</w:t>
            </w:r>
          </w:p>
        </w:tc>
        <w:tc>
          <w:tcPr>
            <w:tcW w:w="788" w:type="pct"/>
            <w:noWrap/>
            <w:vAlign w:val="bottom"/>
          </w:tcPr>
          <w:p w:rsidR="003F19AA" w:rsidRDefault="003F19AA">
            <w:pPr>
              <w:jc w:val="center"/>
              <w:rPr>
                <w:color w:val="000000"/>
              </w:rPr>
            </w:pPr>
            <w:r>
              <w:rPr>
                <w:color w:val="000000"/>
              </w:rPr>
              <w:t>71.68</w:t>
            </w:r>
          </w:p>
        </w:tc>
        <w:tc>
          <w:tcPr>
            <w:tcW w:w="418" w:type="pct"/>
            <w:noWrap/>
            <w:vAlign w:val="bottom"/>
          </w:tcPr>
          <w:p w:rsidR="003F19AA" w:rsidRDefault="003F19AA">
            <w:pPr>
              <w:jc w:val="center"/>
              <w:rPr>
                <w:color w:val="000000"/>
              </w:rPr>
            </w:pPr>
            <w:r>
              <w:rPr>
                <w:color w:val="000000"/>
              </w:rPr>
              <w:t>27</w:t>
            </w:r>
          </w:p>
        </w:tc>
        <w:tc>
          <w:tcPr>
            <w:tcW w:w="450" w:type="pct"/>
            <w:noWrap/>
            <w:vAlign w:val="bottom"/>
          </w:tcPr>
          <w:p w:rsidR="003F19AA" w:rsidRDefault="003F19AA">
            <w:pPr>
              <w:jc w:val="center"/>
              <w:rPr>
                <w:color w:val="000000"/>
              </w:rPr>
            </w:pPr>
            <w:r>
              <w:rPr>
                <w:color w:val="000000"/>
              </w:rPr>
              <w:t>51</w:t>
            </w:r>
          </w:p>
        </w:tc>
        <w:tc>
          <w:tcPr>
            <w:tcW w:w="781" w:type="pct"/>
            <w:noWrap/>
            <w:vAlign w:val="bottom"/>
          </w:tcPr>
          <w:p w:rsidR="003F19AA" w:rsidRDefault="003F19AA">
            <w:pPr>
              <w:jc w:val="center"/>
              <w:rPr>
                <w:color w:val="000000"/>
              </w:rPr>
            </w:pPr>
            <w:r>
              <w:rPr>
                <w:color w:val="000000"/>
              </w:rPr>
              <w:t>65.38</w:t>
            </w:r>
          </w:p>
        </w:tc>
        <w:tc>
          <w:tcPr>
            <w:tcW w:w="480" w:type="pct"/>
            <w:gridSpan w:val="2"/>
            <w:vAlign w:val="bottom"/>
          </w:tcPr>
          <w:p w:rsidR="003F19AA" w:rsidRDefault="003F19AA">
            <w:pPr>
              <w:jc w:val="center"/>
              <w:rPr>
                <w:color w:val="000000"/>
              </w:rPr>
            </w:pPr>
            <w:r>
              <w:rPr>
                <w:color w:val="000000"/>
              </w:rPr>
              <w:t>69.10</w:t>
            </w:r>
          </w:p>
        </w:tc>
      </w:tr>
      <w:tr w:rsidR="003F19AA">
        <w:trPr>
          <w:cantSplit/>
          <w:trHeight w:val="368"/>
          <w:jc w:val="center"/>
        </w:trPr>
        <w:tc>
          <w:tcPr>
            <w:tcW w:w="1248" w:type="pct"/>
            <w:shd w:val="clear" w:color="000000" w:fill="FFFFFF"/>
            <w:noWrap/>
            <w:vAlign w:val="bottom"/>
          </w:tcPr>
          <w:p w:rsidR="003F19AA" w:rsidRDefault="003F19AA">
            <w:pPr>
              <w:pStyle w:val="Default"/>
              <w:autoSpaceDE/>
              <w:autoSpaceDN/>
              <w:adjustRightInd/>
              <w:rPr>
                <w:rFonts w:ascii="Times New Roman" w:eastAsia="Times New Roman" w:hAnsi="Times New Roman" w:cs="Times New Roman"/>
              </w:rPr>
            </w:pPr>
            <w:r>
              <w:rPr>
                <w:rFonts w:ascii="Times New Roman" w:eastAsia="Times New Roman" w:hAnsi="Times New Roman" w:cs="Times New Roman"/>
              </w:rPr>
              <w:t>Chloramphenicol</w:t>
            </w:r>
          </w:p>
        </w:tc>
        <w:tc>
          <w:tcPr>
            <w:tcW w:w="469" w:type="pct"/>
            <w:noWrap/>
            <w:vAlign w:val="bottom"/>
          </w:tcPr>
          <w:p w:rsidR="003F19AA" w:rsidRDefault="003F19AA">
            <w:pPr>
              <w:jc w:val="center"/>
              <w:rPr>
                <w:color w:val="000000"/>
              </w:rPr>
            </w:pPr>
            <w:r>
              <w:rPr>
                <w:color w:val="000000"/>
              </w:rPr>
              <w:t>69</w:t>
            </w:r>
          </w:p>
        </w:tc>
        <w:tc>
          <w:tcPr>
            <w:tcW w:w="366" w:type="pct"/>
            <w:noWrap/>
            <w:vAlign w:val="bottom"/>
          </w:tcPr>
          <w:p w:rsidR="003F19AA" w:rsidRDefault="003F19AA">
            <w:pPr>
              <w:jc w:val="center"/>
              <w:rPr>
                <w:color w:val="000000"/>
              </w:rPr>
            </w:pPr>
            <w:r>
              <w:rPr>
                <w:color w:val="000000"/>
              </w:rPr>
              <w:t>44</w:t>
            </w:r>
          </w:p>
        </w:tc>
        <w:tc>
          <w:tcPr>
            <w:tcW w:w="788" w:type="pct"/>
            <w:noWrap/>
            <w:vAlign w:val="bottom"/>
          </w:tcPr>
          <w:p w:rsidR="003F19AA" w:rsidRDefault="003F19AA">
            <w:pPr>
              <w:jc w:val="center"/>
              <w:rPr>
                <w:color w:val="000000"/>
              </w:rPr>
            </w:pPr>
            <w:r>
              <w:rPr>
                <w:color w:val="000000"/>
              </w:rPr>
              <w:t>39</w:t>
            </w:r>
          </w:p>
        </w:tc>
        <w:tc>
          <w:tcPr>
            <w:tcW w:w="418" w:type="pct"/>
            <w:noWrap/>
            <w:vAlign w:val="bottom"/>
          </w:tcPr>
          <w:p w:rsidR="003F19AA" w:rsidRDefault="003F19AA">
            <w:pPr>
              <w:jc w:val="center"/>
              <w:rPr>
                <w:color w:val="000000"/>
              </w:rPr>
            </w:pPr>
            <w:r>
              <w:rPr>
                <w:color w:val="000000"/>
              </w:rPr>
              <w:t>57</w:t>
            </w:r>
          </w:p>
        </w:tc>
        <w:tc>
          <w:tcPr>
            <w:tcW w:w="450" w:type="pct"/>
            <w:noWrap/>
            <w:vAlign w:val="bottom"/>
          </w:tcPr>
          <w:p w:rsidR="003F19AA" w:rsidRDefault="003F19AA">
            <w:pPr>
              <w:jc w:val="center"/>
              <w:rPr>
                <w:color w:val="000000"/>
              </w:rPr>
            </w:pPr>
            <w:r>
              <w:rPr>
                <w:color w:val="000000"/>
              </w:rPr>
              <w:t>21</w:t>
            </w:r>
          </w:p>
        </w:tc>
        <w:tc>
          <w:tcPr>
            <w:tcW w:w="781" w:type="pct"/>
            <w:noWrap/>
            <w:vAlign w:val="bottom"/>
          </w:tcPr>
          <w:p w:rsidR="003F19AA" w:rsidRDefault="003F19AA">
            <w:pPr>
              <w:jc w:val="center"/>
              <w:rPr>
                <w:color w:val="000000"/>
              </w:rPr>
            </w:pPr>
            <w:r>
              <w:rPr>
                <w:color w:val="000000"/>
              </w:rPr>
              <w:t>27</w:t>
            </w:r>
          </w:p>
        </w:tc>
        <w:tc>
          <w:tcPr>
            <w:tcW w:w="480" w:type="pct"/>
            <w:gridSpan w:val="2"/>
            <w:vAlign w:val="bottom"/>
          </w:tcPr>
          <w:p w:rsidR="003F19AA" w:rsidRDefault="003F19AA">
            <w:pPr>
              <w:jc w:val="center"/>
              <w:rPr>
                <w:color w:val="000000"/>
              </w:rPr>
            </w:pPr>
            <w:r>
              <w:rPr>
                <w:color w:val="000000"/>
              </w:rPr>
              <w:t>34.03</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Ciprofloxacin</w:t>
            </w:r>
          </w:p>
        </w:tc>
        <w:tc>
          <w:tcPr>
            <w:tcW w:w="469" w:type="pct"/>
            <w:noWrap/>
            <w:vAlign w:val="bottom"/>
          </w:tcPr>
          <w:p w:rsidR="003F19AA" w:rsidRDefault="003F19AA">
            <w:pPr>
              <w:jc w:val="center"/>
              <w:rPr>
                <w:color w:val="000000"/>
              </w:rPr>
            </w:pPr>
            <w:r>
              <w:rPr>
                <w:color w:val="000000"/>
              </w:rPr>
              <w:t>47</w:t>
            </w:r>
          </w:p>
        </w:tc>
        <w:tc>
          <w:tcPr>
            <w:tcW w:w="366" w:type="pct"/>
            <w:noWrap/>
            <w:vAlign w:val="bottom"/>
          </w:tcPr>
          <w:p w:rsidR="003F19AA" w:rsidRDefault="003F19AA">
            <w:pPr>
              <w:jc w:val="center"/>
              <w:rPr>
                <w:color w:val="000000"/>
              </w:rPr>
            </w:pPr>
            <w:r>
              <w:rPr>
                <w:color w:val="000000"/>
              </w:rPr>
              <w:t>66</w:t>
            </w:r>
          </w:p>
        </w:tc>
        <w:tc>
          <w:tcPr>
            <w:tcW w:w="788" w:type="pct"/>
            <w:noWrap/>
            <w:vAlign w:val="bottom"/>
          </w:tcPr>
          <w:p w:rsidR="003F19AA" w:rsidRDefault="003F19AA">
            <w:pPr>
              <w:jc w:val="center"/>
              <w:rPr>
                <w:color w:val="000000"/>
              </w:rPr>
            </w:pPr>
            <w:r>
              <w:rPr>
                <w:color w:val="000000"/>
              </w:rPr>
              <w:t>58.40</w:t>
            </w:r>
          </w:p>
        </w:tc>
        <w:tc>
          <w:tcPr>
            <w:tcW w:w="418" w:type="pct"/>
            <w:noWrap/>
            <w:vAlign w:val="bottom"/>
          </w:tcPr>
          <w:p w:rsidR="003F19AA" w:rsidRDefault="003F19AA">
            <w:pPr>
              <w:jc w:val="center"/>
              <w:rPr>
                <w:color w:val="000000"/>
              </w:rPr>
            </w:pPr>
            <w:r>
              <w:rPr>
                <w:color w:val="000000"/>
              </w:rPr>
              <w:t>31</w:t>
            </w:r>
          </w:p>
        </w:tc>
        <w:tc>
          <w:tcPr>
            <w:tcW w:w="450" w:type="pct"/>
            <w:noWrap/>
            <w:vAlign w:val="bottom"/>
          </w:tcPr>
          <w:p w:rsidR="003F19AA" w:rsidRDefault="003F19AA">
            <w:pPr>
              <w:jc w:val="center"/>
              <w:rPr>
                <w:color w:val="000000"/>
              </w:rPr>
            </w:pPr>
            <w:r>
              <w:rPr>
                <w:color w:val="000000"/>
              </w:rPr>
              <w:t>47</w:t>
            </w:r>
          </w:p>
        </w:tc>
        <w:tc>
          <w:tcPr>
            <w:tcW w:w="781" w:type="pct"/>
            <w:noWrap/>
            <w:vAlign w:val="bottom"/>
          </w:tcPr>
          <w:p w:rsidR="003F19AA" w:rsidRDefault="003F19AA">
            <w:pPr>
              <w:jc w:val="center"/>
              <w:rPr>
                <w:color w:val="000000"/>
              </w:rPr>
            </w:pPr>
            <w:r>
              <w:rPr>
                <w:color w:val="000000"/>
              </w:rPr>
              <w:t>41.59</w:t>
            </w:r>
          </w:p>
        </w:tc>
        <w:tc>
          <w:tcPr>
            <w:tcW w:w="480" w:type="pct"/>
            <w:gridSpan w:val="2"/>
            <w:vAlign w:val="bottom"/>
          </w:tcPr>
          <w:p w:rsidR="003F19AA" w:rsidRDefault="003F19AA">
            <w:pPr>
              <w:jc w:val="center"/>
              <w:rPr>
                <w:color w:val="000000"/>
              </w:rPr>
            </w:pPr>
            <w:r>
              <w:rPr>
                <w:color w:val="000000"/>
              </w:rPr>
              <w:t>59.16</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Doxycyclin</w:t>
            </w:r>
          </w:p>
        </w:tc>
        <w:tc>
          <w:tcPr>
            <w:tcW w:w="469" w:type="pct"/>
            <w:noWrap/>
            <w:vAlign w:val="bottom"/>
          </w:tcPr>
          <w:p w:rsidR="003F19AA" w:rsidRDefault="003F19AA">
            <w:pPr>
              <w:jc w:val="center"/>
              <w:rPr>
                <w:color w:val="000000"/>
              </w:rPr>
            </w:pPr>
            <w:r>
              <w:rPr>
                <w:color w:val="000000"/>
              </w:rPr>
              <w:t>45</w:t>
            </w:r>
          </w:p>
        </w:tc>
        <w:tc>
          <w:tcPr>
            <w:tcW w:w="366" w:type="pct"/>
            <w:noWrap/>
            <w:vAlign w:val="bottom"/>
          </w:tcPr>
          <w:p w:rsidR="003F19AA" w:rsidRDefault="003F19AA">
            <w:pPr>
              <w:jc w:val="center"/>
              <w:rPr>
                <w:color w:val="000000"/>
              </w:rPr>
            </w:pPr>
            <w:r>
              <w:rPr>
                <w:color w:val="000000"/>
              </w:rPr>
              <w:t>68</w:t>
            </w:r>
          </w:p>
        </w:tc>
        <w:tc>
          <w:tcPr>
            <w:tcW w:w="788" w:type="pct"/>
            <w:noWrap/>
            <w:vAlign w:val="bottom"/>
          </w:tcPr>
          <w:p w:rsidR="003F19AA" w:rsidRDefault="003F19AA">
            <w:pPr>
              <w:jc w:val="center"/>
              <w:rPr>
                <w:color w:val="000000"/>
              </w:rPr>
            </w:pPr>
            <w:r>
              <w:rPr>
                <w:color w:val="000000"/>
              </w:rPr>
              <w:t>60.17</w:t>
            </w:r>
          </w:p>
        </w:tc>
        <w:tc>
          <w:tcPr>
            <w:tcW w:w="418" w:type="pct"/>
            <w:noWrap/>
            <w:vAlign w:val="bottom"/>
          </w:tcPr>
          <w:p w:rsidR="003F19AA" w:rsidRDefault="003F19AA">
            <w:pPr>
              <w:jc w:val="center"/>
              <w:rPr>
                <w:color w:val="000000"/>
              </w:rPr>
            </w:pPr>
            <w:r>
              <w:rPr>
                <w:color w:val="000000"/>
              </w:rPr>
              <w:t>25</w:t>
            </w:r>
          </w:p>
        </w:tc>
        <w:tc>
          <w:tcPr>
            <w:tcW w:w="450" w:type="pct"/>
            <w:noWrap/>
            <w:vAlign w:val="bottom"/>
          </w:tcPr>
          <w:p w:rsidR="003F19AA" w:rsidRDefault="003F19AA">
            <w:pPr>
              <w:jc w:val="center"/>
              <w:rPr>
                <w:color w:val="000000"/>
              </w:rPr>
            </w:pPr>
            <w:r>
              <w:rPr>
                <w:color w:val="000000"/>
              </w:rPr>
              <w:t>53</w:t>
            </w:r>
          </w:p>
        </w:tc>
        <w:tc>
          <w:tcPr>
            <w:tcW w:w="781" w:type="pct"/>
            <w:noWrap/>
            <w:vAlign w:val="bottom"/>
          </w:tcPr>
          <w:p w:rsidR="003F19AA" w:rsidRDefault="003F19AA">
            <w:pPr>
              <w:jc w:val="center"/>
              <w:rPr>
                <w:color w:val="000000"/>
              </w:rPr>
            </w:pPr>
            <w:r>
              <w:rPr>
                <w:color w:val="000000"/>
              </w:rPr>
              <w:t>68</w:t>
            </w:r>
          </w:p>
        </w:tc>
        <w:tc>
          <w:tcPr>
            <w:tcW w:w="480" w:type="pct"/>
            <w:gridSpan w:val="2"/>
            <w:vAlign w:val="bottom"/>
          </w:tcPr>
          <w:p w:rsidR="003F19AA" w:rsidRDefault="003F19AA">
            <w:pPr>
              <w:jc w:val="center"/>
              <w:rPr>
                <w:color w:val="000000"/>
              </w:rPr>
            </w:pPr>
            <w:r>
              <w:rPr>
                <w:color w:val="000000"/>
              </w:rPr>
              <w:t>63.35</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Gentamicin</w:t>
            </w:r>
          </w:p>
        </w:tc>
        <w:tc>
          <w:tcPr>
            <w:tcW w:w="469" w:type="pct"/>
            <w:noWrap/>
            <w:vAlign w:val="bottom"/>
          </w:tcPr>
          <w:p w:rsidR="003F19AA" w:rsidRDefault="003F19AA">
            <w:pPr>
              <w:jc w:val="center"/>
              <w:rPr>
                <w:color w:val="000000"/>
              </w:rPr>
            </w:pPr>
            <w:r>
              <w:rPr>
                <w:color w:val="000000"/>
              </w:rPr>
              <w:t>37</w:t>
            </w:r>
          </w:p>
        </w:tc>
        <w:tc>
          <w:tcPr>
            <w:tcW w:w="366" w:type="pct"/>
            <w:noWrap/>
            <w:vAlign w:val="bottom"/>
          </w:tcPr>
          <w:p w:rsidR="003F19AA" w:rsidRDefault="003F19AA">
            <w:pPr>
              <w:jc w:val="center"/>
              <w:rPr>
                <w:color w:val="000000"/>
              </w:rPr>
            </w:pPr>
            <w:r>
              <w:rPr>
                <w:color w:val="000000"/>
              </w:rPr>
              <w:t>76</w:t>
            </w:r>
          </w:p>
        </w:tc>
        <w:tc>
          <w:tcPr>
            <w:tcW w:w="788" w:type="pct"/>
            <w:noWrap/>
            <w:vAlign w:val="bottom"/>
          </w:tcPr>
          <w:p w:rsidR="003F19AA" w:rsidRDefault="003F19AA">
            <w:pPr>
              <w:jc w:val="center"/>
              <w:rPr>
                <w:color w:val="000000"/>
              </w:rPr>
            </w:pPr>
            <w:r>
              <w:rPr>
                <w:color w:val="000000"/>
              </w:rPr>
              <w:t>67.25</w:t>
            </w:r>
          </w:p>
        </w:tc>
        <w:tc>
          <w:tcPr>
            <w:tcW w:w="418" w:type="pct"/>
            <w:noWrap/>
            <w:vAlign w:val="bottom"/>
          </w:tcPr>
          <w:p w:rsidR="003F19AA" w:rsidRDefault="003F19AA">
            <w:pPr>
              <w:jc w:val="center"/>
              <w:rPr>
                <w:color w:val="000000"/>
              </w:rPr>
            </w:pPr>
            <w:r>
              <w:rPr>
                <w:color w:val="000000"/>
              </w:rPr>
              <w:t>26</w:t>
            </w:r>
          </w:p>
        </w:tc>
        <w:tc>
          <w:tcPr>
            <w:tcW w:w="450" w:type="pct"/>
            <w:noWrap/>
            <w:vAlign w:val="bottom"/>
          </w:tcPr>
          <w:p w:rsidR="003F19AA" w:rsidRDefault="003F19AA">
            <w:pPr>
              <w:jc w:val="center"/>
              <w:rPr>
                <w:color w:val="000000"/>
              </w:rPr>
            </w:pPr>
            <w:r>
              <w:rPr>
                <w:color w:val="000000"/>
              </w:rPr>
              <w:t>52</w:t>
            </w:r>
          </w:p>
        </w:tc>
        <w:tc>
          <w:tcPr>
            <w:tcW w:w="781" w:type="pct"/>
            <w:noWrap/>
            <w:vAlign w:val="bottom"/>
          </w:tcPr>
          <w:p w:rsidR="003F19AA" w:rsidRDefault="003F19AA">
            <w:pPr>
              <w:jc w:val="center"/>
              <w:rPr>
                <w:color w:val="000000"/>
              </w:rPr>
            </w:pPr>
            <w:r>
              <w:rPr>
                <w:color w:val="000000"/>
              </w:rPr>
              <w:t>66.66</w:t>
            </w:r>
          </w:p>
        </w:tc>
        <w:tc>
          <w:tcPr>
            <w:tcW w:w="480" w:type="pct"/>
            <w:gridSpan w:val="2"/>
            <w:vAlign w:val="bottom"/>
          </w:tcPr>
          <w:p w:rsidR="003F19AA" w:rsidRDefault="003F19AA">
            <w:pPr>
              <w:jc w:val="center"/>
              <w:rPr>
                <w:color w:val="000000"/>
              </w:rPr>
            </w:pPr>
            <w:r>
              <w:rPr>
                <w:color w:val="000000"/>
              </w:rPr>
              <w:t>67.01</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Levofloxacin</w:t>
            </w:r>
          </w:p>
        </w:tc>
        <w:tc>
          <w:tcPr>
            <w:tcW w:w="469" w:type="pct"/>
            <w:noWrap/>
            <w:vAlign w:val="bottom"/>
          </w:tcPr>
          <w:p w:rsidR="003F19AA" w:rsidRDefault="003F19AA">
            <w:pPr>
              <w:jc w:val="center"/>
              <w:rPr>
                <w:color w:val="000000"/>
              </w:rPr>
            </w:pPr>
            <w:r>
              <w:rPr>
                <w:color w:val="000000"/>
              </w:rPr>
              <w:t>41</w:t>
            </w:r>
          </w:p>
        </w:tc>
        <w:tc>
          <w:tcPr>
            <w:tcW w:w="366" w:type="pct"/>
            <w:noWrap/>
            <w:vAlign w:val="bottom"/>
          </w:tcPr>
          <w:p w:rsidR="003F19AA" w:rsidRDefault="003F19AA">
            <w:pPr>
              <w:jc w:val="center"/>
              <w:rPr>
                <w:color w:val="000000"/>
              </w:rPr>
            </w:pPr>
            <w:r>
              <w:rPr>
                <w:color w:val="000000"/>
              </w:rPr>
              <w:t>72</w:t>
            </w:r>
          </w:p>
        </w:tc>
        <w:tc>
          <w:tcPr>
            <w:tcW w:w="788" w:type="pct"/>
            <w:noWrap/>
            <w:vAlign w:val="bottom"/>
          </w:tcPr>
          <w:p w:rsidR="003F19AA" w:rsidRDefault="003F19AA">
            <w:pPr>
              <w:jc w:val="center"/>
              <w:rPr>
                <w:color w:val="000000"/>
              </w:rPr>
            </w:pPr>
            <w:r>
              <w:rPr>
                <w:color w:val="000000"/>
              </w:rPr>
              <w:t>64</w:t>
            </w:r>
          </w:p>
        </w:tc>
        <w:tc>
          <w:tcPr>
            <w:tcW w:w="418" w:type="pct"/>
            <w:noWrap/>
            <w:vAlign w:val="bottom"/>
          </w:tcPr>
          <w:p w:rsidR="003F19AA" w:rsidRDefault="003F19AA">
            <w:pPr>
              <w:jc w:val="center"/>
              <w:rPr>
                <w:color w:val="000000"/>
              </w:rPr>
            </w:pPr>
            <w:r>
              <w:rPr>
                <w:color w:val="000000"/>
              </w:rPr>
              <w:t>16</w:t>
            </w:r>
          </w:p>
        </w:tc>
        <w:tc>
          <w:tcPr>
            <w:tcW w:w="450" w:type="pct"/>
            <w:noWrap/>
            <w:vAlign w:val="bottom"/>
          </w:tcPr>
          <w:p w:rsidR="003F19AA" w:rsidRDefault="003F19AA">
            <w:pPr>
              <w:jc w:val="center"/>
              <w:rPr>
                <w:color w:val="000000"/>
              </w:rPr>
            </w:pPr>
            <w:r>
              <w:rPr>
                <w:color w:val="000000"/>
              </w:rPr>
              <w:t>62</w:t>
            </w:r>
          </w:p>
        </w:tc>
        <w:tc>
          <w:tcPr>
            <w:tcW w:w="781" w:type="pct"/>
            <w:noWrap/>
            <w:vAlign w:val="bottom"/>
          </w:tcPr>
          <w:p w:rsidR="003F19AA" w:rsidRDefault="003F19AA">
            <w:pPr>
              <w:jc w:val="center"/>
              <w:rPr>
                <w:color w:val="000000"/>
              </w:rPr>
            </w:pPr>
            <w:r>
              <w:rPr>
                <w:color w:val="000000"/>
              </w:rPr>
              <w:t>79.48</w:t>
            </w:r>
          </w:p>
        </w:tc>
        <w:tc>
          <w:tcPr>
            <w:tcW w:w="480" w:type="pct"/>
            <w:gridSpan w:val="2"/>
            <w:vAlign w:val="bottom"/>
          </w:tcPr>
          <w:p w:rsidR="003F19AA" w:rsidRDefault="003F19AA">
            <w:pPr>
              <w:jc w:val="center"/>
              <w:rPr>
                <w:color w:val="000000"/>
              </w:rPr>
            </w:pPr>
            <w:r>
              <w:rPr>
                <w:color w:val="000000"/>
              </w:rPr>
              <w:t>70.15</w:t>
            </w:r>
          </w:p>
        </w:tc>
      </w:tr>
      <w:tr w:rsidR="003F19AA">
        <w:trPr>
          <w:cantSplit/>
          <w:trHeight w:val="368"/>
          <w:jc w:val="center"/>
        </w:trPr>
        <w:tc>
          <w:tcPr>
            <w:tcW w:w="1248" w:type="pct"/>
            <w:shd w:val="clear" w:color="000000" w:fill="FFFFFF"/>
            <w:noWrap/>
            <w:vAlign w:val="bottom"/>
          </w:tcPr>
          <w:p w:rsidR="003F19AA" w:rsidRDefault="003F19AA">
            <w:pPr>
              <w:rPr>
                <w:color w:val="000000"/>
              </w:rPr>
            </w:pPr>
            <w:r>
              <w:rPr>
                <w:color w:val="000000"/>
              </w:rPr>
              <w:t>Norfloxacin</w:t>
            </w:r>
          </w:p>
        </w:tc>
        <w:tc>
          <w:tcPr>
            <w:tcW w:w="469" w:type="pct"/>
            <w:noWrap/>
            <w:vAlign w:val="bottom"/>
          </w:tcPr>
          <w:p w:rsidR="003F19AA" w:rsidRDefault="003F19AA">
            <w:pPr>
              <w:jc w:val="center"/>
              <w:rPr>
                <w:color w:val="000000"/>
              </w:rPr>
            </w:pPr>
            <w:r>
              <w:rPr>
                <w:color w:val="000000"/>
              </w:rPr>
              <w:t>49</w:t>
            </w:r>
          </w:p>
        </w:tc>
        <w:tc>
          <w:tcPr>
            <w:tcW w:w="366" w:type="pct"/>
            <w:noWrap/>
            <w:vAlign w:val="bottom"/>
          </w:tcPr>
          <w:p w:rsidR="003F19AA" w:rsidRDefault="003F19AA">
            <w:pPr>
              <w:jc w:val="center"/>
              <w:rPr>
                <w:color w:val="000000"/>
              </w:rPr>
            </w:pPr>
            <w:r>
              <w:rPr>
                <w:color w:val="000000"/>
              </w:rPr>
              <w:t>64</w:t>
            </w:r>
          </w:p>
        </w:tc>
        <w:tc>
          <w:tcPr>
            <w:tcW w:w="788" w:type="pct"/>
            <w:noWrap/>
            <w:vAlign w:val="bottom"/>
          </w:tcPr>
          <w:p w:rsidR="003F19AA" w:rsidRDefault="003F19AA">
            <w:pPr>
              <w:jc w:val="center"/>
              <w:rPr>
                <w:color w:val="000000"/>
              </w:rPr>
            </w:pPr>
            <w:r>
              <w:rPr>
                <w:color w:val="000000"/>
              </w:rPr>
              <w:t>56.63</w:t>
            </w:r>
          </w:p>
        </w:tc>
        <w:tc>
          <w:tcPr>
            <w:tcW w:w="418" w:type="pct"/>
            <w:noWrap/>
            <w:vAlign w:val="bottom"/>
          </w:tcPr>
          <w:p w:rsidR="003F19AA" w:rsidRDefault="003F19AA">
            <w:pPr>
              <w:jc w:val="center"/>
              <w:rPr>
                <w:color w:val="000000"/>
              </w:rPr>
            </w:pPr>
            <w:r>
              <w:rPr>
                <w:color w:val="000000"/>
              </w:rPr>
              <w:t>20</w:t>
            </w:r>
          </w:p>
        </w:tc>
        <w:tc>
          <w:tcPr>
            <w:tcW w:w="450" w:type="pct"/>
            <w:noWrap/>
            <w:vAlign w:val="bottom"/>
          </w:tcPr>
          <w:p w:rsidR="003F19AA" w:rsidRDefault="003F19AA">
            <w:pPr>
              <w:jc w:val="center"/>
              <w:rPr>
                <w:color w:val="000000"/>
              </w:rPr>
            </w:pPr>
            <w:r>
              <w:rPr>
                <w:color w:val="000000"/>
              </w:rPr>
              <w:t>58</w:t>
            </w:r>
          </w:p>
        </w:tc>
        <w:tc>
          <w:tcPr>
            <w:tcW w:w="781" w:type="pct"/>
            <w:noWrap/>
            <w:vAlign w:val="bottom"/>
          </w:tcPr>
          <w:p w:rsidR="003F19AA" w:rsidRDefault="003F19AA">
            <w:pPr>
              <w:jc w:val="center"/>
              <w:rPr>
                <w:color w:val="000000"/>
              </w:rPr>
            </w:pPr>
            <w:r>
              <w:rPr>
                <w:color w:val="000000"/>
              </w:rPr>
              <w:t>74.35</w:t>
            </w:r>
          </w:p>
        </w:tc>
        <w:tc>
          <w:tcPr>
            <w:tcW w:w="480" w:type="pct"/>
            <w:gridSpan w:val="2"/>
            <w:vAlign w:val="bottom"/>
          </w:tcPr>
          <w:p w:rsidR="003F19AA" w:rsidRDefault="003F19AA">
            <w:pPr>
              <w:jc w:val="center"/>
              <w:rPr>
                <w:color w:val="000000"/>
              </w:rPr>
            </w:pPr>
            <w:r>
              <w:rPr>
                <w:color w:val="000000"/>
              </w:rPr>
              <w:t>64</w:t>
            </w:r>
          </w:p>
        </w:tc>
      </w:tr>
      <w:tr w:rsidR="003F19AA">
        <w:trPr>
          <w:cantSplit/>
          <w:trHeight w:val="382"/>
          <w:jc w:val="center"/>
        </w:trPr>
        <w:tc>
          <w:tcPr>
            <w:tcW w:w="1248" w:type="pct"/>
            <w:shd w:val="clear" w:color="000000" w:fill="FFFFFF"/>
            <w:noWrap/>
            <w:vAlign w:val="bottom"/>
          </w:tcPr>
          <w:p w:rsidR="003F19AA" w:rsidRDefault="003F19AA">
            <w:pPr>
              <w:rPr>
                <w:color w:val="000000"/>
              </w:rPr>
            </w:pPr>
            <w:r>
              <w:rPr>
                <w:color w:val="000000"/>
              </w:rPr>
              <w:t>Ofloxacin</w:t>
            </w:r>
          </w:p>
        </w:tc>
        <w:tc>
          <w:tcPr>
            <w:tcW w:w="469" w:type="pct"/>
            <w:noWrap/>
            <w:vAlign w:val="bottom"/>
          </w:tcPr>
          <w:p w:rsidR="003F19AA" w:rsidRDefault="003F19AA">
            <w:pPr>
              <w:jc w:val="center"/>
              <w:rPr>
                <w:color w:val="000000"/>
              </w:rPr>
            </w:pPr>
            <w:r>
              <w:rPr>
                <w:color w:val="000000"/>
              </w:rPr>
              <w:t>36</w:t>
            </w:r>
          </w:p>
        </w:tc>
        <w:tc>
          <w:tcPr>
            <w:tcW w:w="366" w:type="pct"/>
            <w:noWrap/>
            <w:vAlign w:val="bottom"/>
          </w:tcPr>
          <w:p w:rsidR="003F19AA" w:rsidRDefault="003F19AA">
            <w:pPr>
              <w:jc w:val="center"/>
              <w:rPr>
                <w:color w:val="000000"/>
              </w:rPr>
            </w:pPr>
            <w:r>
              <w:rPr>
                <w:color w:val="000000"/>
              </w:rPr>
              <w:t>77</w:t>
            </w:r>
          </w:p>
        </w:tc>
        <w:tc>
          <w:tcPr>
            <w:tcW w:w="788" w:type="pct"/>
            <w:noWrap/>
            <w:vAlign w:val="bottom"/>
          </w:tcPr>
          <w:p w:rsidR="003F19AA" w:rsidRDefault="003F19AA">
            <w:pPr>
              <w:jc w:val="center"/>
              <w:rPr>
                <w:color w:val="000000"/>
              </w:rPr>
            </w:pPr>
            <w:r>
              <w:rPr>
                <w:color w:val="000000"/>
              </w:rPr>
              <w:t>68.14</w:t>
            </w:r>
          </w:p>
        </w:tc>
        <w:tc>
          <w:tcPr>
            <w:tcW w:w="418" w:type="pct"/>
            <w:noWrap/>
            <w:vAlign w:val="bottom"/>
          </w:tcPr>
          <w:p w:rsidR="003F19AA" w:rsidRDefault="003F19AA">
            <w:pPr>
              <w:jc w:val="center"/>
              <w:rPr>
                <w:color w:val="000000"/>
              </w:rPr>
            </w:pPr>
            <w:r>
              <w:rPr>
                <w:color w:val="000000"/>
              </w:rPr>
              <w:t>14</w:t>
            </w:r>
          </w:p>
        </w:tc>
        <w:tc>
          <w:tcPr>
            <w:tcW w:w="450" w:type="pct"/>
            <w:noWrap/>
            <w:vAlign w:val="bottom"/>
          </w:tcPr>
          <w:p w:rsidR="003F19AA" w:rsidRDefault="003F19AA">
            <w:pPr>
              <w:jc w:val="center"/>
              <w:rPr>
                <w:color w:val="000000"/>
              </w:rPr>
            </w:pPr>
            <w:r>
              <w:rPr>
                <w:color w:val="000000"/>
              </w:rPr>
              <w:t>64</w:t>
            </w:r>
          </w:p>
        </w:tc>
        <w:tc>
          <w:tcPr>
            <w:tcW w:w="781" w:type="pct"/>
            <w:noWrap/>
            <w:vAlign w:val="bottom"/>
          </w:tcPr>
          <w:p w:rsidR="003F19AA" w:rsidRDefault="003F19AA">
            <w:pPr>
              <w:jc w:val="center"/>
              <w:rPr>
                <w:color w:val="000000"/>
              </w:rPr>
            </w:pPr>
            <w:r>
              <w:rPr>
                <w:color w:val="000000"/>
              </w:rPr>
              <w:t>82.05</w:t>
            </w:r>
          </w:p>
        </w:tc>
        <w:tc>
          <w:tcPr>
            <w:tcW w:w="480" w:type="pct"/>
            <w:gridSpan w:val="2"/>
            <w:vAlign w:val="bottom"/>
          </w:tcPr>
          <w:p w:rsidR="003F19AA" w:rsidRDefault="003F19AA">
            <w:pPr>
              <w:jc w:val="center"/>
              <w:rPr>
                <w:color w:val="000000"/>
              </w:rPr>
            </w:pPr>
            <w:r>
              <w:rPr>
                <w:color w:val="000000"/>
              </w:rPr>
              <w:t>74</w:t>
            </w:r>
          </w:p>
        </w:tc>
      </w:tr>
      <w:tr w:rsidR="003F19AA">
        <w:trPr>
          <w:cantSplit/>
          <w:trHeight w:val="382"/>
          <w:jc w:val="center"/>
        </w:trPr>
        <w:tc>
          <w:tcPr>
            <w:tcW w:w="1248" w:type="pct"/>
            <w:shd w:val="clear" w:color="000000" w:fill="FFFFFF"/>
            <w:noWrap/>
            <w:vAlign w:val="bottom"/>
          </w:tcPr>
          <w:p w:rsidR="003F19AA" w:rsidRDefault="003F19AA">
            <w:pPr>
              <w:rPr>
                <w:color w:val="000000"/>
              </w:rPr>
            </w:pPr>
            <w:r>
              <w:rPr>
                <w:color w:val="000000"/>
              </w:rPr>
              <w:t>Sparfloxacin</w:t>
            </w:r>
          </w:p>
        </w:tc>
        <w:tc>
          <w:tcPr>
            <w:tcW w:w="469" w:type="pct"/>
            <w:noWrap/>
            <w:vAlign w:val="bottom"/>
          </w:tcPr>
          <w:p w:rsidR="003F19AA" w:rsidRDefault="003F19AA">
            <w:pPr>
              <w:jc w:val="center"/>
              <w:rPr>
                <w:color w:val="000000"/>
              </w:rPr>
            </w:pPr>
            <w:r>
              <w:rPr>
                <w:color w:val="000000"/>
              </w:rPr>
              <w:t>55</w:t>
            </w:r>
          </w:p>
        </w:tc>
        <w:tc>
          <w:tcPr>
            <w:tcW w:w="366" w:type="pct"/>
            <w:noWrap/>
            <w:vAlign w:val="bottom"/>
          </w:tcPr>
          <w:p w:rsidR="003F19AA" w:rsidRDefault="003F19AA">
            <w:pPr>
              <w:jc w:val="center"/>
              <w:rPr>
                <w:color w:val="000000"/>
              </w:rPr>
            </w:pPr>
            <w:r>
              <w:rPr>
                <w:color w:val="000000"/>
              </w:rPr>
              <w:t>58</w:t>
            </w:r>
          </w:p>
        </w:tc>
        <w:tc>
          <w:tcPr>
            <w:tcW w:w="788" w:type="pct"/>
            <w:noWrap/>
            <w:vAlign w:val="bottom"/>
          </w:tcPr>
          <w:p w:rsidR="003F19AA" w:rsidRDefault="003F19AA">
            <w:pPr>
              <w:jc w:val="center"/>
              <w:rPr>
                <w:color w:val="000000"/>
              </w:rPr>
            </w:pPr>
            <w:r>
              <w:rPr>
                <w:color w:val="000000"/>
              </w:rPr>
              <w:t>51.32</w:t>
            </w:r>
          </w:p>
        </w:tc>
        <w:tc>
          <w:tcPr>
            <w:tcW w:w="418" w:type="pct"/>
            <w:noWrap/>
            <w:vAlign w:val="bottom"/>
          </w:tcPr>
          <w:p w:rsidR="003F19AA" w:rsidRDefault="003F19AA">
            <w:pPr>
              <w:jc w:val="center"/>
              <w:rPr>
                <w:color w:val="000000"/>
              </w:rPr>
            </w:pPr>
            <w:r>
              <w:rPr>
                <w:color w:val="000000"/>
              </w:rPr>
              <w:t>23</w:t>
            </w:r>
          </w:p>
        </w:tc>
        <w:tc>
          <w:tcPr>
            <w:tcW w:w="450" w:type="pct"/>
            <w:noWrap/>
            <w:vAlign w:val="bottom"/>
          </w:tcPr>
          <w:p w:rsidR="003F19AA" w:rsidRDefault="003F19AA">
            <w:pPr>
              <w:jc w:val="center"/>
              <w:rPr>
                <w:color w:val="000000"/>
              </w:rPr>
            </w:pPr>
            <w:r>
              <w:rPr>
                <w:color w:val="000000"/>
              </w:rPr>
              <w:t>55</w:t>
            </w:r>
          </w:p>
        </w:tc>
        <w:tc>
          <w:tcPr>
            <w:tcW w:w="781" w:type="pct"/>
            <w:noWrap/>
            <w:vAlign w:val="bottom"/>
          </w:tcPr>
          <w:p w:rsidR="003F19AA" w:rsidRDefault="003F19AA">
            <w:pPr>
              <w:jc w:val="center"/>
              <w:rPr>
                <w:color w:val="000000"/>
              </w:rPr>
            </w:pPr>
            <w:r>
              <w:rPr>
                <w:color w:val="000000"/>
              </w:rPr>
              <w:t>70.51</w:t>
            </w:r>
          </w:p>
        </w:tc>
        <w:tc>
          <w:tcPr>
            <w:tcW w:w="480" w:type="pct"/>
            <w:gridSpan w:val="2"/>
            <w:vAlign w:val="bottom"/>
          </w:tcPr>
          <w:p w:rsidR="003F19AA" w:rsidRDefault="003F19AA">
            <w:pPr>
              <w:jc w:val="center"/>
              <w:rPr>
                <w:color w:val="000000"/>
              </w:rPr>
            </w:pPr>
            <w:r>
              <w:rPr>
                <w:color w:val="000000"/>
              </w:rPr>
              <w:t>59.16</w:t>
            </w:r>
          </w:p>
        </w:tc>
      </w:tr>
      <w:tr w:rsidR="003F19AA">
        <w:trPr>
          <w:cantSplit/>
          <w:trHeight w:val="382"/>
          <w:jc w:val="center"/>
        </w:trPr>
        <w:tc>
          <w:tcPr>
            <w:tcW w:w="1248" w:type="pct"/>
            <w:shd w:val="clear" w:color="000000" w:fill="FFFFFF"/>
            <w:noWrap/>
            <w:vAlign w:val="bottom"/>
          </w:tcPr>
          <w:p w:rsidR="003F19AA" w:rsidRDefault="003F19AA">
            <w:pPr>
              <w:rPr>
                <w:color w:val="000000"/>
              </w:rPr>
            </w:pPr>
            <w:r>
              <w:rPr>
                <w:color w:val="000000"/>
              </w:rPr>
              <w:t>Vancomycin</w:t>
            </w:r>
          </w:p>
        </w:tc>
        <w:tc>
          <w:tcPr>
            <w:tcW w:w="469" w:type="pct"/>
            <w:noWrap/>
            <w:vAlign w:val="bottom"/>
          </w:tcPr>
          <w:p w:rsidR="003F19AA" w:rsidRDefault="003F19AA">
            <w:pPr>
              <w:jc w:val="center"/>
              <w:rPr>
                <w:color w:val="000000"/>
              </w:rPr>
            </w:pPr>
            <w:r>
              <w:rPr>
                <w:color w:val="000000"/>
              </w:rPr>
              <w:t>112</w:t>
            </w:r>
          </w:p>
        </w:tc>
        <w:tc>
          <w:tcPr>
            <w:tcW w:w="366" w:type="pct"/>
            <w:noWrap/>
            <w:vAlign w:val="bottom"/>
          </w:tcPr>
          <w:p w:rsidR="003F19AA" w:rsidRDefault="003F19AA">
            <w:pPr>
              <w:jc w:val="center"/>
              <w:rPr>
                <w:color w:val="000000"/>
              </w:rPr>
            </w:pPr>
            <w:r>
              <w:rPr>
                <w:color w:val="000000"/>
              </w:rPr>
              <w:t>01</w:t>
            </w:r>
          </w:p>
        </w:tc>
        <w:tc>
          <w:tcPr>
            <w:tcW w:w="788" w:type="pct"/>
            <w:noWrap/>
            <w:vAlign w:val="bottom"/>
          </w:tcPr>
          <w:p w:rsidR="003F19AA" w:rsidRDefault="003F19AA">
            <w:pPr>
              <w:jc w:val="center"/>
              <w:rPr>
                <w:color w:val="000000"/>
              </w:rPr>
            </w:pPr>
            <w:r>
              <w:rPr>
                <w:color w:val="000000"/>
              </w:rPr>
              <w:t>99.1</w:t>
            </w:r>
          </w:p>
        </w:tc>
        <w:tc>
          <w:tcPr>
            <w:tcW w:w="418" w:type="pct"/>
            <w:noWrap/>
            <w:vAlign w:val="bottom"/>
          </w:tcPr>
          <w:p w:rsidR="003F19AA" w:rsidRDefault="003F19AA">
            <w:pPr>
              <w:jc w:val="center"/>
              <w:rPr>
                <w:color w:val="000000"/>
              </w:rPr>
            </w:pPr>
            <w:r>
              <w:rPr>
                <w:color w:val="000000"/>
              </w:rPr>
              <w:t>78</w:t>
            </w:r>
          </w:p>
        </w:tc>
        <w:tc>
          <w:tcPr>
            <w:tcW w:w="450" w:type="pct"/>
            <w:noWrap/>
            <w:vAlign w:val="bottom"/>
          </w:tcPr>
          <w:p w:rsidR="003F19AA" w:rsidRDefault="003F19AA">
            <w:pPr>
              <w:jc w:val="center"/>
              <w:rPr>
                <w:color w:val="000000"/>
              </w:rPr>
            </w:pPr>
            <w:r>
              <w:rPr>
                <w:color w:val="000000"/>
              </w:rPr>
              <w:t>0</w:t>
            </w:r>
          </w:p>
        </w:tc>
        <w:tc>
          <w:tcPr>
            <w:tcW w:w="781" w:type="pct"/>
            <w:noWrap/>
            <w:vAlign w:val="bottom"/>
          </w:tcPr>
          <w:p w:rsidR="003F19AA" w:rsidRDefault="003F19AA">
            <w:pPr>
              <w:jc w:val="center"/>
              <w:rPr>
                <w:color w:val="000000"/>
              </w:rPr>
            </w:pPr>
            <w:r>
              <w:rPr>
                <w:color w:val="000000"/>
              </w:rPr>
              <w:t>100</w:t>
            </w:r>
          </w:p>
        </w:tc>
        <w:tc>
          <w:tcPr>
            <w:tcW w:w="480" w:type="pct"/>
            <w:gridSpan w:val="2"/>
            <w:vAlign w:val="bottom"/>
          </w:tcPr>
          <w:p w:rsidR="003F19AA" w:rsidRDefault="003F19AA">
            <w:pPr>
              <w:jc w:val="center"/>
              <w:rPr>
                <w:color w:val="000000"/>
              </w:rPr>
            </w:pPr>
            <w:r>
              <w:rPr>
                <w:color w:val="000000"/>
              </w:rPr>
              <w:t>99.55</w:t>
            </w:r>
          </w:p>
        </w:tc>
      </w:tr>
    </w:tbl>
    <w:p w:rsidR="003F19AA" w:rsidRDefault="003F19AA">
      <w:pPr>
        <w:spacing w:before="280" w:after="280" w:line="360" w:lineRule="auto"/>
        <w:jc w:val="both"/>
      </w:pPr>
      <w:r>
        <w:rPr>
          <w:vertAlign w:val="superscript"/>
        </w:rPr>
        <w:t>*</w:t>
      </w:r>
      <w:r>
        <w:t xml:space="preserve">R: Resistant, </w:t>
      </w:r>
      <w:r>
        <w:rPr>
          <w:vertAlign w:val="superscript"/>
        </w:rPr>
        <w:t>**</w:t>
      </w:r>
      <w:r>
        <w:t>S: Sensitive</w:t>
      </w:r>
    </w:p>
    <w:p w:rsidR="003F19AA" w:rsidRDefault="003F19AA">
      <w:pPr>
        <w:spacing w:before="280" w:after="280" w:line="360" w:lineRule="auto"/>
        <w:jc w:val="both"/>
      </w:pPr>
    </w:p>
    <w:p w:rsidR="003F19AA" w:rsidRDefault="00BC01C9">
      <w:pPr>
        <w:tabs>
          <w:tab w:val="left" w:pos="5850"/>
        </w:tabs>
        <w:jc w:val="center"/>
      </w:pPr>
      <w:r>
        <w:rPr>
          <w:noProof/>
        </w:rPr>
        <w:drawing>
          <wp:inline distT="0" distB="0" distL="0" distR="0">
            <wp:extent cx="4130040" cy="4015740"/>
            <wp:effectExtent l="19050" t="0" r="3810" b="0"/>
            <wp:docPr id="1" name="Picture 1" descr="2709201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092012070"/>
                    <pic:cNvPicPr>
                      <a:picLocks noChangeAspect="1" noChangeArrowheads="1"/>
                    </pic:cNvPicPr>
                  </pic:nvPicPr>
                  <pic:blipFill>
                    <a:blip r:embed="rId6" cstate="print"/>
                    <a:srcRect/>
                    <a:stretch>
                      <a:fillRect/>
                    </a:stretch>
                  </pic:blipFill>
                  <pic:spPr bwMode="auto">
                    <a:xfrm>
                      <a:off x="0" y="0"/>
                      <a:ext cx="4130040" cy="4015740"/>
                    </a:xfrm>
                    <a:prstGeom prst="rect">
                      <a:avLst/>
                    </a:prstGeom>
                    <a:noFill/>
                    <a:ln w="9525">
                      <a:noFill/>
                      <a:miter lim="800000"/>
                      <a:headEnd/>
                      <a:tailEnd/>
                    </a:ln>
                  </pic:spPr>
                </pic:pic>
              </a:graphicData>
            </a:graphic>
          </wp:inline>
        </w:drawing>
      </w:r>
    </w:p>
    <w:p w:rsidR="003F19AA" w:rsidRDefault="003F19AA">
      <w:pPr>
        <w:tabs>
          <w:tab w:val="left" w:pos="5850"/>
        </w:tabs>
        <w:spacing w:after="480"/>
        <w:jc w:val="center"/>
      </w:pPr>
      <w:r>
        <w:rPr>
          <w:b/>
        </w:rPr>
        <w:t>Figure 1</w:t>
      </w:r>
      <w:r>
        <w:t xml:space="preserve"> Antimicrobial </w:t>
      </w:r>
      <w:r w:rsidR="000A35C7">
        <w:t>sensitivity pattern results on P</w:t>
      </w:r>
      <w:r>
        <w:t>etri plate</w:t>
      </w:r>
    </w:p>
    <w:p w:rsidR="003F19AA" w:rsidRDefault="00BC01C9">
      <w:pPr>
        <w:spacing w:before="280" w:after="280"/>
        <w:jc w:val="both"/>
      </w:pPr>
      <w:r>
        <w:rPr>
          <w:noProof/>
          <w:sz w:val="20"/>
        </w:rPr>
        <w:drawing>
          <wp:anchor distT="0" distB="0" distL="114300" distR="114300" simplePos="0" relativeHeight="251657728" behindDoc="0" locked="0" layoutInCell="1" allowOverlap="1">
            <wp:simplePos x="0" y="0"/>
            <wp:positionH relativeFrom="column">
              <wp:posOffset>-228600</wp:posOffset>
            </wp:positionH>
            <wp:positionV relativeFrom="paragraph">
              <wp:posOffset>457200</wp:posOffset>
            </wp:positionV>
            <wp:extent cx="5486400" cy="2637790"/>
            <wp:effectExtent l="0" t="0" r="0" b="0"/>
            <wp:wrapTopAndBottom/>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3F19AA">
        <w:t>Figure 2. Antimicrobial sensitivity pattern shown by multi drug resistant MRSA</w:t>
      </w:r>
    </w:p>
    <w:sectPr w:rsidR="003F19A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B48EE"/>
    <w:multiLevelType w:val="hybridMultilevel"/>
    <w:tmpl w:val="1B3AC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1F5767"/>
    <w:multiLevelType w:val="hybridMultilevel"/>
    <w:tmpl w:val="B2864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E744C"/>
    <w:multiLevelType w:val="hybridMultilevel"/>
    <w:tmpl w:val="B4BC3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62450A"/>
    <w:rsid w:val="00073220"/>
    <w:rsid w:val="00095C21"/>
    <w:rsid w:val="000A35C7"/>
    <w:rsid w:val="000A45A4"/>
    <w:rsid w:val="000F1817"/>
    <w:rsid w:val="0016253E"/>
    <w:rsid w:val="001F22C1"/>
    <w:rsid w:val="00245D05"/>
    <w:rsid w:val="003139F8"/>
    <w:rsid w:val="003433A6"/>
    <w:rsid w:val="003A6E94"/>
    <w:rsid w:val="003D4AF5"/>
    <w:rsid w:val="003F19AA"/>
    <w:rsid w:val="004D3AFF"/>
    <w:rsid w:val="0062450A"/>
    <w:rsid w:val="00741DDA"/>
    <w:rsid w:val="0078167F"/>
    <w:rsid w:val="008A67CA"/>
    <w:rsid w:val="008B3D80"/>
    <w:rsid w:val="009176F2"/>
    <w:rsid w:val="00BC01C9"/>
    <w:rsid w:val="00CE30DA"/>
    <w:rsid w:val="00D73604"/>
    <w:rsid w:val="00DD03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spacing w:before="100" w:after="100" w:line="360" w:lineRule="auto"/>
      <w:jc w:val="both"/>
      <w:outlineLvl w:val="0"/>
    </w:pPr>
    <w:rPr>
      <w:b/>
      <w:bCs/>
      <w:szCs w:val="28"/>
      <w:lang/>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autoSpaceDE w:val="0"/>
      <w:autoSpaceDN w:val="0"/>
      <w:adjustRightInd w:val="0"/>
      <w:spacing w:before="100" w:after="100" w:line="360" w:lineRule="auto"/>
      <w:jc w:val="both"/>
      <w:outlineLvl w:val="2"/>
    </w:pPr>
    <w:rPr>
      <w:b/>
      <w:bCs/>
      <w:sz w:val="22"/>
      <w:szCs w:val="22"/>
      <w:lang/>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TMLPreformattedChar">
    <w:name w:val="HTML Preformatted Char"/>
    <w:basedOn w:val="DefaultParagraphFont"/>
    <w:rPr>
      <w:rFonts w:ascii="Courier New" w:eastAsia="Times New Roman" w:hAnsi="Courier New" w:cs="Courier New"/>
      <w:sz w:val="20"/>
      <w:szCs w:val="20"/>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character" w:customStyle="1" w:styleId="emphi">
    <w:name w:val="emph_i"/>
    <w:basedOn w:val="DefaultParagraphFont"/>
  </w:style>
  <w:style w:type="character" w:customStyle="1" w:styleId="emphb">
    <w:name w:val="emph_b"/>
    <w:basedOn w:val="DefaultParagraphFont"/>
  </w:style>
  <w:style w:type="paragraph" w:styleId="ListParagraph">
    <w:name w:val="List Paragraph"/>
    <w:basedOn w:val="Normal"/>
    <w:qFormat/>
    <w:pPr>
      <w:spacing w:after="200" w:line="276" w:lineRule="auto"/>
      <w:ind w:left="720"/>
    </w:pPr>
    <w:rPr>
      <w:rFonts w:ascii="Calibri" w:hAnsi="Calibri"/>
      <w:sz w:val="22"/>
      <w:szCs w:val="22"/>
    </w:rPr>
  </w:style>
  <w:style w:type="character" w:customStyle="1" w:styleId="HeaderChar">
    <w:name w:val="Header Char"/>
    <w:basedOn w:val="DefaultParagraphFont"/>
    <w:semiHidden/>
    <w:rPr>
      <w:sz w:val="22"/>
      <w:szCs w:val="22"/>
    </w:rPr>
  </w:style>
  <w:style w:type="character" w:customStyle="1" w:styleId="FooterChar">
    <w:name w:val="Footer Char"/>
    <w:basedOn w:val="DefaultParagraphFont"/>
    <w:rPr>
      <w:sz w:val="22"/>
      <w:szCs w:val="22"/>
    </w:rPr>
  </w:style>
  <w:style w:type="paragraph" w:styleId="BodyText">
    <w:name w:val="Body Text"/>
    <w:basedOn w:val="Normal"/>
    <w:semiHidden/>
    <w:pPr>
      <w:widowControl w:val="0"/>
      <w:autoSpaceDE w:val="0"/>
      <w:autoSpaceDN w:val="0"/>
      <w:adjustRightInd w:val="0"/>
      <w:spacing w:line="360" w:lineRule="auto"/>
      <w:jc w:val="both"/>
    </w:pPr>
    <w:rPr>
      <w:color w:val="000000"/>
      <w:spacing w:val="-1"/>
      <w:szCs w:val="22"/>
    </w:rPr>
  </w:style>
  <w:style w:type="paragraph" w:styleId="BodyText2">
    <w:name w:val="Body Text 2"/>
    <w:basedOn w:val="Normal"/>
    <w:semiHidden/>
    <w:pPr>
      <w:spacing w:line="360" w:lineRule="auto"/>
      <w:jc w:val="center"/>
    </w:pPr>
    <w:rPr>
      <w:bCs/>
      <w:iCs/>
    </w:rPr>
  </w:style>
  <w:style w:type="character" w:styleId="Hyperlink">
    <w:name w:val="Hyperlink"/>
    <w:basedOn w:val="DefaultParagraphFont"/>
    <w:semiHidden/>
    <w:rPr>
      <w:color w:val="0000FF"/>
      <w:u w:val="single"/>
    </w:rPr>
  </w:style>
  <w:style w:type="paragraph" w:styleId="BodyText3">
    <w:name w:val="Body Text 3"/>
    <w:basedOn w:val="Normal"/>
    <w:semiHidden/>
    <w:pPr>
      <w:widowControl w:val="0"/>
      <w:autoSpaceDE w:val="0"/>
      <w:autoSpaceDN w:val="0"/>
      <w:adjustRightInd w:val="0"/>
      <w:spacing w:line="360" w:lineRule="auto"/>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mubashirbangash@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41654978962131844"/>
          <c:y val="2.0588235294117647E-2"/>
        </c:manualLayout>
      </c:layout>
      <c:spPr>
        <a:noFill/>
        <a:ln w="25394">
          <a:noFill/>
        </a:ln>
      </c:spPr>
      <c:txPr>
        <a:bodyPr/>
        <a:lstStyle/>
        <a:p>
          <a:pPr>
            <a:defRPr sz="875" b="0" i="0" u="none" strike="noStrike" baseline="0">
              <a:solidFill>
                <a:srgbClr val="000000"/>
              </a:solidFill>
              <a:latin typeface="Arial"/>
              <a:ea typeface="Arial"/>
              <a:cs typeface="Arial"/>
            </a:defRPr>
          </a:pPr>
          <a:endParaRPr lang="en-US"/>
        </a:p>
      </c:txPr>
    </c:title>
    <c:plotArea>
      <c:layout>
        <c:manualLayout>
          <c:layoutTarget val="inner"/>
          <c:xMode val="edge"/>
          <c:yMode val="edge"/>
          <c:x val="8.1346423562412382E-2"/>
          <c:y val="0.18235294117647072"/>
          <c:w val="0.70266479663394132"/>
          <c:h val="0.47058823529411786"/>
        </c:manualLayout>
      </c:layout>
      <c:barChart>
        <c:barDir val="col"/>
        <c:grouping val="clustered"/>
        <c:ser>
          <c:idx val="0"/>
          <c:order val="0"/>
          <c:tx>
            <c:strRef>
              <c:f>Sheet1!$G$3</c:f>
              <c:strCache>
                <c:ptCount val="1"/>
                <c:pt idx="0">
                  <c:v>Percent Sensitive</c:v>
                </c:pt>
              </c:strCache>
            </c:strRef>
          </c:tx>
          <c:spPr>
            <a:solidFill>
              <a:srgbClr val="9999FF"/>
            </a:solidFill>
            <a:ln w="12697">
              <a:solidFill>
                <a:srgbClr val="000000"/>
              </a:solidFill>
              <a:prstDash val="solid"/>
            </a:ln>
          </c:spPr>
          <c:cat>
            <c:strRef>
              <c:f>Sheet1!$F$4:$F$16</c:f>
              <c:strCache>
                <c:ptCount val="13"/>
                <c:pt idx="0">
                  <c:v>Amoxicillin</c:v>
                </c:pt>
                <c:pt idx="1">
                  <c:v>Cefotaxime</c:v>
                </c:pt>
                <c:pt idx="2">
                  <c:v>Cephradine</c:v>
                </c:pt>
                <c:pt idx="3">
                  <c:v>Erythromysin</c:v>
                </c:pt>
                <c:pt idx="4">
                  <c:v>Chloramphenicol</c:v>
                </c:pt>
                <c:pt idx="5">
                  <c:v>Ciprofloxacin</c:v>
                </c:pt>
                <c:pt idx="6">
                  <c:v>Doxycyclin</c:v>
                </c:pt>
                <c:pt idx="7">
                  <c:v>Gentamicin</c:v>
                </c:pt>
                <c:pt idx="8">
                  <c:v>Levofloxacin</c:v>
                </c:pt>
                <c:pt idx="9">
                  <c:v>Norfloxacin</c:v>
                </c:pt>
                <c:pt idx="10">
                  <c:v>Ofloxacin</c:v>
                </c:pt>
                <c:pt idx="11">
                  <c:v>Sparfloxacin</c:v>
                </c:pt>
                <c:pt idx="12">
                  <c:v>Vancomycin</c:v>
                </c:pt>
              </c:strCache>
            </c:strRef>
          </c:cat>
          <c:val>
            <c:numRef>
              <c:f>Sheet1!$G$4:$G$16</c:f>
              <c:numCache>
                <c:formatCode>General</c:formatCode>
                <c:ptCount val="13"/>
                <c:pt idx="0">
                  <c:v>100</c:v>
                </c:pt>
                <c:pt idx="1">
                  <c:v>76.430000000000007</c:v>
                </c:pt>
                <c:pt idx="2">
                  <c:v>68.58</c:v>
                </c:pt>
                <c:pt idx="3">
                  <c:v>69.099999999999994</c:v>
                </c:pt>
                <c:pt idx="4">
                  <c:v>34.03</c:v>
                </c:pt>
                <c:pt idx="5">
                  <c:v>59.160000000000011</c:v>
                </c:pt>
                <c:pt idx="6">
                  <c:v>63.35</c:v>
                </c:pt>
                <c:pt idx="7">
                  <c:v>67.010000000000005</c:v>
                </c:pt>
                <c:pt idx="8">
                  <c:v>70.149999999999991</c:v>
                </c:pt>
                <c:pt idx="9">
                  <c:v>64</c:v>
                </c:pt>
                <c:pt idx="10">
                  <c:v>74</c:v>
                </c:pt>
                <c:pt idx="11">
                  <c:v>59.160000000000011</c:v>
                </c:pt>
                <c:pt idx="12">
                  <c:v>99.55</c:v>
                </c:pt>
              </c:numCache>
            </c:numRef>
          </c:val>
        </c:ser>
        <c:axId val="101398016"/>
        <c:axId val="101399552"/>
      </c:barChart>
      <c:catAx>
        <c:axId val="101398016"/>
        <c:scaling>
          <c:orientation val="minMax"/>
        </c:scaling>
        <c:axPos val="b"/>
        <c:numFmt formatCode="General" sourceLinked="1"/>
        <c:tickLblPos val="nextTo"/>
        <c:spPr>
          <a:ln w="3174">
            <a:solidFill>
              <a:srgbClr val="000000"/>
            </a:solidFill>
            <a:prstDash val="solid"/>
          </a:ln>
        </c:spPr>
        <c:txPr>
          <a:bodyPr rot="-2700000" vert="horz"/>
          <a:lstStyle/>
          <a:p>
            <a:pPr>
              <a:defRPr sz="875" b="0" i="0" u="none" strike="noStrike" baseline="0">
                <a:solidFill>
                  <a:srgbClr val="000000"/>
                </a:solidFill>
                <a:latin typeface="Arial"/>
                <a:ea typeface="Arial"/>
                <a:cs typeface="Arial"/>
              </a:defRPr>
            </a:pPr>
            <a:endParaRPr lang="en-US"/>
          </a:p>
        </c:txPr>
        <c:crossAx val="101399552"/>
        <c:crosses val="autoZero"/>
        <c:auto val="1"/>
        <c:lblAlgn val="ctr"/>
        <c:lblOffset val="100"/>
        <c:tickLblSkip val="1"/>
        <c:tickMarkSkip val="1"/>
      </c:catAx>
      <c:valAx>
        <c:axId val="101399552"/>
        <c:scaling>
          <c:orientation val="minMax"/>
        </c:scaling>
        <c:axPos val="l"/>
        <c:majorGridlines>
          <c:spPr>
            <a:ln w="3174">
              <a:solidFill>
                <a:srgbClr val="000000"/>
              </a:solidFill>
              <a:prstDash val="solid"/>
            </a:ln>
          </c:spPr>
        </c:majorGridlines>
        <c:numFmt formatCode="General" sourceLinked="1"/>
        <c:tickLblPos val="nextTo"/>
        <c:spPr>
          <a:ln w="3174">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en-US"/>
          </a:p>
        </c:txPr>
        <c:crossAx val="101398016"/>
        <c:crosses val="autoZero"/>
        <c:crossBetween val="between"/>
      </c:valAx>
      <c:spPr>
        <a:solidFill>
          <a:srgbClr val="C0C0C0"/>
        </a:solidFill>
        <a:ln w="12697">
          <a:solidFill>
            <a:srgbClr val="808080"/>
          </a:solidFill>
          <a:prstDash val="solid"/>
        </a:ln>
      </c:spPr>
    </c:plotArea>
    <c:legend>
      <c:legendPos val="r"/>
      <c:layout>
        <c:manualLayout>
          <c:xMode val="edge"/>
          <c:yMode val="edge"/>
          <c:x val="0.80224403927068755"/>
          <c:y val="0.38235294117647078"/>
          <c:w val="0.19214586255259478"/>
          <c:h val="7.0588235294117674E-2"/>
        </c:manualLayout>
      </c:layout>
      <c:spPr>
        <a:solidFill>
          <a:srgbClr val="FFFFFF"/>
        </a:solidFill>
        <a:ln w="3174">
          <a:solidFill>
            <a:srgbClr val="000000"/>
          </a:solidFill>
          <a:prstDash val="solid"/>
        </a:ln>
      </c:spPr>
      <c:txPr>
        <a:bodyPr/>
        <a:lstStyle/>
        <a:p>
          <a:pPr>
            <a:defRPr sz="80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4">
      <a:solidFill>
        <a:srgbClr val="000000"/>
      </a:solidFill>
      <a:prstDash val="solid"/>
    </a:ln>
  </c:spPr>
  <c:txPr>
    <a:bodyPr/>
    <a:lstStyle/>
    <a:p>
      <a:pPr>
        <a:defRPr sz="875"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3357</Words>
  <Characters>19139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KUST</Company>
  <LinksUpToDate>false</LinksUpToDate>
  <CharactersWithSpaces>22452</CharactersWithSpaces>
  <SharedDoc>false</SharedDoc>
  <HLinks>
    <vt:vector size="6" baseType="variant">
      <vt:variant>
        <vt:i4>1441844</vt:i4>
      </vt:variant>
      <vt:variant>
        <vt:i4>0</vt:i4>
      </vt:variant>
      <vt:variant>
        <vt:i4>0</vt:i4>
      </vt:variant>
      <vt:variant>
        <vt:i4>5</vt:i4>
      </vt:variant>
      <vt:variant>
        <vt:lpwstr>mailto:mubashirbangash@gmail.com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Mubashir</dc:creator>
  <cp:lastModifiedBy>Dr. Zubair</cp:lastModifiedBy>
  <cp:revision>2</cp:revision>
  <dcterms:created xsi:type="dcterms:W3CDTF">2013-02-13T05:59:00Z</dcterms:created>
  <dcterms:modified xsi:type="dcterms:W3CDTF">2013-02-13T05:59:00Z</dcterms:modified>
</cp:coreProperties>
</file>