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F14" w:rsidRDefault="00136F14" w:rsidP="00D81095">
      <w:pPr>
        <w:suppressLineNumbers/>
        <w:rPr>
          <w:b/>
        </w:rPr>
      </w:pPr>
    </w:p>
    <w:p w:rsidR="00136F14" w:rsidRPr="00136F14" w:rsidRDefault="00136F14" w:rsidP="00136F14">
      <w:pPr>
        <w:rPr>
          <w:b/>
        </w:rPr>
      </w:pPr>
      <w:r w:rsidRPr="00136F14">
        <w:rPr>
          <w:b/>
        </w:rPr>
        <w:t>Abstract</w:t>
      </w:r>
    </w:p>
    <w:p w:rsidR="00136F14" w:rsidRPr="00136F14" w:rsidRDefault="00136F14" w:rsidP="00136F14">
      <w:pPr>
        <w:spacing w:before="240" w:line="360" w:lineRule="auto"/>
        <w:jc w:val="both"/>
      </w:pPr>
      <w:r w:rsidRPr="00136F14">
        <w:t>An adult male stray dog of non descriptive breed with a cauliflower like growth in the p</w:t>
      </w:r>
      <w:r>
        <w:t xml:space="preserve">enile region was admitted in SAQ </w:t>
      </w:r>
      <w:r w:rsidRPr="00136F14">
        <w:t>Teaching Veterinary Hospital,</w:t>
      </w:r>
      <w:r w:rsidR="0056578F">
        <w:t xml:space="preserve"> </w:t>
      </w:r>
      <w:r w:rsidR="00106B23" w:rsidRPr="0086426E">
        <w:t>Chittagong Veterinary and Animal Sciences University</w:t>
      </w:r>
      <w:r w:rsidR="00106B23">
        <w:t xml:space="preserve"> (</w:t>
      </w:r>
      <w:r w:rsidRPr="00136F14">
        <w:t>CVASU</w:t>
      </w:r>
      <w:r w:rsidR="00106B23">
        <w:t>)</w:t>
      </w:r>
      <w:r w:rsidRPr="00136F14">
        <w:t xml:space="preserve">. While the local municipal authority and duty doctors of the hospital decided to perform euthanasia, </w:t>
      </w:r>
      <w:r w:rsidR="00D53AE7">
        <w:t>clinico-</w:t>
      </w:r>
      <w:r w:rsidRPr="00136F14">
        <w:t>pathological and histopathological examination of the tumor mass</w:t>
      </w:r>
      <w:r w:rsidR="004E4AE0">
        <w:t xml:space="preserve"> was performed</w:t>
      </w:r>
      <w:r w:rsidRPr="00136F14">
        <w:t xml:space="preserve"> to arrive in a diagnosis. The results of fine needle aspiration biopsy (FNAB) and histopathology confirmed the case as canine transmissible venereal tumor (CTVT).</w:t>
      </w:r>
      <w:r w:rsidR="004E4AE0">
        <w:t xml:space="preserve"> </w:t>
      </w:r>
      <w:r w:rsidRPr="00136F14">
        <w:t>Under light microscopes, the tumor mass showed sheets of numerous neoplastic round cells with characteristic features and hyperchromatic nuclei. No evidence of metastasis was observed as all other visceral organs and lymphoid tissues of the vicinity were found free form neoplastic changes. Besides, depending on the histological features of the tumor mass the case was designated as progressive phage of CTVT.</w:t>
      </w:r>
    </w:p>
    <w:p w:rsidR="00136F14" w:rsidRDefault="00136F14" w:rsidP="00136F14">
      <w:pPr>
        <w:spacing w:line="360" w:lineRule="auto"/>
      </w:pPr>
      <w:r w:rsidRPr="00136F14">
        <w:rPr>
          <w:b/>
        </w:rPr>
        <w:t>Key words:</w:t>
      </w:r>
      <w:r w:rsidRPr="00136F14">
        <w:t xml:space="preserve"> </w:t>
      </w:r>
      <w:r w:rsidR="00586BC8" w:rsidRPr="00136F14">
        <w:t>Stray dog</w:t>
      </w:r>
      <w:r w:rsidR="00586BC8">
        <w:t xml:space="preserve">, </w:t>
      </w:r>
      <w:r w:rsidR="00586BC8" w:rsidRPr="00136F14">
        <w:t>CTVT,</w:t>
      </w:r>
      <w:r w:rsidR="00586BC8">
        <w:t xml:space="preserve"> </w:t>
      </w:r>
      <w:r w:rsidRPr="00136F14">
        <w:t>Histopathology, Round cells</w:t>
      </w:r>
    </w:p>
    <w:p w:rsidR="00941127" w:rsidRPr="00136F14" w:rsidRDefault="00941127" w:rsidP="00136F14">
      <w:pPr>
        <w:spacing w:line="360" w:lineRule="auto"/>
      </w:pPr>
    </w:p>
    <w:p w:rsidR="00136F14" w:rsidRPr="00136F14" w:rsidRDefault="00136F14" w:rsidP="00136F14">
      <w:pPr>
        <w:spacing w:line="360" w:lineRule="auto"/>
        <w:jc w:val="both"/>
      </w:pPr>
      <w:r w:rsidRPr="00136F14">
        <w:t xml:space="preserve">The canine transmissible venereal tumor (CTVT) is a benign reticuloendothelial neoplasm producing cauliflower like, firm to friable nodular mass on the external genitalia of either male or female dogs and it occur at the same frequencies in both sexes (Rogers, 1997). It is known to be the most frequent tumor in ownerless stray dog population that usually run and copulate freely (MacEwen, 2001). The tumor may be single or multiple, nodular or pedunculated, ranging from a small nodule less than a centimeter to over ten centimeter. CTVT can be diagnosed histopathologically by appreciating round, ovular polyhedral cells with indistinct poor cytoplasmic boundaries. Characteristic multiple cytoplasmic vacuoles and large foamy nuclei are the common cytological features of such tumor cells (Tasqueti </w:t>
      </w:r>
      <w:r w:rsidRPr="007C0B31">
        <w:t>et al</w:t>
      </w:r>
      <w:r w:rsidRPr="00136F14">
        <w:rPr>
          <w:i/>
        </w:rPr>
        <w:t>.,</w:t>
      </w:r>
      <w:r w:rsidRPr="00136F14">
        <w:t xml:space="preserve"> 1999).</w:t>
      </w:r>
      <w:bookmarkStart w:id="0" w:name="_Toc299483765"/>
      <w:bookmarkStart w:id="1" w:name="_Toc299550121"/>
      <w:bookmarkStart w:id="2" w:name="_Toc299550208"/>
      <w:bookmarkStart w:id="3" w:name="_Toc299550370"/>
    </w:p>
    <w:p w:rsidR="00136F14" w:rsidRPr="00136F14" w:rsidRDefault="00136F14" w:rsidP="00136F14">
      <w:pPr>
        <w:spacing w:line="360" w:lineRule="auto"/>
        <w:jc w:val="both"/>
      </w:pPr>
    </w:p>
    <w:p w:rsidR="00136F14" w:rsidRPr="00136F14" w:rsidRDefault="00136F14" w:rsidP="00136F14">
      <w:pPr>
        <w:spacing w:line="360" w:lineRule="auto"/>
        <w:jc w:val="both"/>
      </w:pPr>
      <w:r w:rsidRPr="00136F14">
        <w:t>An adult indigenous (non descriptive breed) male stray dog of 30 kg body weight was brought to SAQ Teaching Veterinary Hospital, CVASU having prolonged history of cauliflower like growth and blood stained discharges from the penile region</w:t>
      </w:r>
      <w:r w:rsidR="00A928EE">
        <w:t xml:space="preserve"> (</w:t>
      </w:r>
      <w:r w:rsidR="00A928EE" w:rsidRPr="00A928EE">
        <w:rPr>
          <w:b/>
        </w:rPr>
        <w:t>Figure 1</w:t>
      </w:r>
      <w:r w:rsidR="00A928EE">
        <w:t>)</w:t>
      </w:r>
      <w:r w:rsidRPr="00136F14">
        <w:t xml:space="preserve">. In distant physical examination, the penile sheath of the dog was found obscure and extensively swelled. Besides, the blood stained flesh was visible with bad odor from a distance. While the local municipal authority and duty doctors of the hospital decided to perform euthanasia, we performed detailed clinicopathological and histopathological examination of the tumor mass </w:t>
      </w:r>
      <w:r w:rsidRPr="00136F14">
        <w:lastRenderedPageBreak/>
        <w:t>to arrive in a diagnosis. Anamnesis revealed rectal temperature was 38.5</w:t>
      </w:r>
      <w:r w:rsidRPr="00136F14">
        <w:rPr>
          <w:vertAlign w:val="superscript"/>
        </w:rPr>
        <w:t>0</w:t>
      </w:r>
      <w:r w:rsidRPr="00136F14">
        <w:t xml:space="preserve"> C, respiratory rate was 20 breaths/min, heart rate was 102 beats/min and pulse rate was 102 beats/min. All these parameters were within the normal range. The observed tumor mass were examined for cytology using fine needle aspiration biopsy following the procedures described in Cowell </w:t>
      </w:r>
      <w:r w:rsidRPr="00136F14">
        <w:rPr>
          <w:i/>
        </w:rPr>
        <w:t>et al.</w:t>
      </w:r>
      <w:r w:rsidRPr="00136F14">
        <w:t xml:space="preserve"> (2008). </w:t>
      </w:r>
      <w:r w:rsidRPr="00136F14">
        <w:rPr>
          <w:rStyle w:val="apple-converted-space"/>
          <w:shd w:val="clear" w:color="auto" w:fill="FFFFFF"/>
        </w:rPr>
        <w:t>Following complete sedation of animal, the 30ml of saturated MgSO</w:t>
      </w:r>
      <w:r w:rsidRPr="00136F14">
        <w:rPr>
          <w:rStyle w:val="apple-converted-space"/>
          <w:shd w:val="clear" w:color="auto" w:fill="FFFFFF"/>
          <w:vertAlign w:val="subscript"/>
        </w:rPr>
        <w:t>4</w:t>
      </w:r>
      <w:r w:rsidRPr="00136F14">
        <w:rPr>
          <w:rStyle w:val="apple-converted-space"/>
          <w:shd w:val="clear" w:color="auto" w:fill="FFFFFF"/>
        </w:rPr>
        <w:t xml:space="preserve"> was injected intravenously in radial vein for performing euthanasia. </w:t>
      </w:r>
      <w:r w:rsidRPr="00136F14">
        <w:t xml:space="preserve">The dog was necropsied at the pathology laboratory of Department of Pathology, and Parasitology, CVASU at the earliest possible time of euthanasia. Necropsy was conducted as per standard method described in Coles (1986). At necropsy, gross tissue changes were observed carefully and recorded. For histopathological study formalin fixed tissue samples were washed and dehydrated in graded ethanol and embedded in paraffin wax. Fixed tissues were sectioned at 5 μm thickness and stained with hematoxylin and eosin as per standard method </w:t>
      </w:r>
      <w:r w:rsidRPr="007C0B31">
        <w:t>(</w:t>
      </w:r>
      <w:r w:rsidRPr="00136F14">
        <w:t>Luna, 1968) for microscopic examination.</w:t>
      </w:r>
      <w:bookmarkStart w:id="4" w:name="_Toc299483838"/>
      <w:bookmarkEnd w:id="0"/>
      <w:bookmarkEnd w:id="1"/>
      <w:bookmarkEnd w:id="2"/>
      <w:bookmarkEnd w:id="3"/>
    </w:p>
    <w:p w:rsidR="00136F14" w:rsidRPr="00136F14" w:rsidRDefault="00136F14" w:rsidP="00136F14">
      <w:pPr>
        <w:spacing w:line="360" w:lineRule="auto"/>
        <w:jc w:val="both"/>
      </w:pPr>
    </w:p>
    <w:p w:rsidR="00136F14" w:rsidRPr="00136F14" w:rsidRDefault="00136F14" w:rsidP="00136F14">
      <w:pPr>
        <w:pStyle w:val="NormalWeb"/>
        <w:spacing w:before="0" w:beforeAutospacing="0" w:after="0" w:afterAutospacing="0" w:line="360" w:lineRule="auto"/>
        <w:jc w:val="both"/>
        <w:outlineLvl w:val="0"/>
        <w:rPr>
          <w:color w:val="FF0000"/>
        </w:rPr>
      </w:pPr>
      <w:r w:rsidRPr="00136F14">
        <w:t xml:space="preserve">In this study aspiration biopsy of the tumor mass exhibited numerous round cells with moderate amount of pale finely granular cytoplasm with poorly defined outline </w:t>
      </w:r>
      <w:r w:rsidR="00A928EE">
        <w:t xml:space="preserve">where </w:t>
      </w:r>
      <w:r w:rsidR="00A928EE" w:rsidRPr="001A4FAD">
        <w:t>nuclei of the cells seem slightly eccentric and coarse with numerous mitotic figures</w:t>
      </w:r>
      <w:r w:rsidR="00A928EE" w:rsidRPr="00136F14">
        <w:t xml:space="preserve"> </w:t>
      </w:r>
      <w:r w:rsidRPr="00136F14">
        <w:t>(</w:t>
      </w:r>
      <w:r w:rsidRPr="00A928EE">
        <w:rPr>
          <w:b/>
        </w:rPr>
        <w:t>Fig</w:t>
      </w:r>
      <w:r w:rsidR="00A928EE" w:rsidRPr="00A928EE">
        <w:rPr>
          <w:b/>
        </w:rPr>
        <w:t>ure 2</w:t>
      </w:r>
      <w:r w:rsidRPr="00136F14">
        <w:t>) which a</w:t>
      </w:r>
      <w:r w:rsidR="007C0B31">
        <w:t xml:space="preserve">re in line with the findings of </w:t>
      </w:r>
      <w:r w:rsidRPr="00136F14">
        <w:t xml:space="preserve">Tasqueti </w:t>
      </w:r>
      <w:r w:rsidRPr="007C0B31">
        <w:t>et al.,</w:t>
      </w:r>
      <w:r w:rsidRPr="00136F14">
        <w:t xml:space="preserve"> 1999</w:t>
      </w:r>
      <w:r w:rsidRPr="007C0B31">
        <w:t>.</w:t>
      </w:r>
      <w:r w:rsidRPr="00136F14">
        <w:rPr>
          <w:color w:val="FF0000"/>
        </w:rPr>
        <w:t xml:space="preserve"> </w:t>
      </w:r>
      <w:r w:rsidRPr="00136F14">
        <w:t xml:space="preserve">At necropsy, multiple rounds to oval, firm nodular mass, ranging from 5 cm to 9 cm diameter </w:t>
      </w:r>
      <w:r w:rsidRPr="00FF2737">
        <w:rPr>
          <w:b/>
        </w:rPr>
        <w:t>(Fig</w:t>
      </w:r>
      <w:r w:rsidR="00A928EE" w:rsidRPr="00FF2737">
        <w:rPr>
          <w:b/>
        </w:rPr>
        <w:t>ure 3</w:t>
      </w:r>
      <w:r w:rsidRPr="00FF2737">
        <w:rPr>
          <w:b/>
        </w:rPr>
        <w:t>)</w:t>
      </w:r>
      <w:r w:rsidRPr="00136F14">
        <w:t xml:space="preserve"> were noted throughout the subcutis, mainly at the preputial mucosa and cranial to the glans penis. There was no gross changes observed anywhere other than penile region in the infected dog.</w:t>
      </w:r>
      <w:bookmarkStart w:id="5" w:name="_Toc299550447"/>
      <w:bookmarkEnd w:id="4"/>
      <w:r w:rsidRPr="00136F14">
        <w:t xml:space="preserve"> From the excised tumor mass, histopathological examination revealed sheets of large round cells resembling lymphoblast</w:t>
      </w:r>
      <w:r w:rsidR="00A30F30">
        <w:t xml:space="preserve"> (</w:t>
      </w:r>
      <w:r w:rsidR="00A30F30" w:rsidRPr="00A30F30">
        <w:rPr>
          <w:b/>
        </w:rPr>
        <w:t>Figure 4</w:t>
      </w:r>
      <w:r w:rsidR="00A30F30">
        <w:t>)</w:t>
      </w:r>
      <w:r w:rsidRPr="00136F14">
        <w:t xml:space="preserve">. However, the nuclei of the cells are larger than those of lymphoid cells. The round or slightly indented nuclei stained more hyperchromatically than those of lymphoblasts and showed pronounced variation in size. Besides, numerous mitotic figures are seen in the neoplastic cells. These histopathological findings are typical of a progressive type transmissible venereal tumor and appear in agreement with the findings of several other pathologists (Santos </w:t>
      </w:r>
      <w:r w:rsidRPr="007C0B31">
        <w:t>et al.</w:t>
      </w:r>
      <w:r w:rsidRPr="00136F14">
        <w:t xml:space="preserve">, 2005; Park </w:t>
      </w:r>
      <w:r w:rsidRPr="007C0B31">
        <w:t>et al.</w:t>
      </w:r>
      <w:r w:rsidRPr="00136F14">
        <w:t>, 2006). Regression is associated with increased numbers of tumor- infiltrating lymphocytes and is characterized by increased apoptotic tumor cells and fibrosis. As suggested by the histopathological features in the present case, there is minimal involvement of tumor infiltrating lymphocytes and high numbers of mitotic figures which designate it as progressive phage of CTVT</w:t>
      </w:r>
      <w:r w:rsidR="003559FE">
        <w:t xml:space="preserve"> (</w:t>
      </w:r>
      <w:r w:rsidR="003559FE" w:rsidRPr="003559FE">
        <w:rPr>
          <w:b/>
        </w:rPr>
        <w:t>Figure 5</w:t>
      </w:r>
      <w:r w:rsidR="003559FE">
        <w:t>)</w:t>
      </w:r>
      <w:r w:rsidRPr="00136F14">
        <w:t>.</w:t>
      </w:r>
      <w:r w:rsidR="00C30BE0">
        <w:t xml:space="preserve"> </w:t>
      </w:r>
      <w:r w:rsidR="00C30BE0">
        <w:lastRenderedPageBreak/>
        <w:t>H</w:t>
      </w:r>
      <w:r w:rsidR="00C30BE0" w:rsidRPr="001A4FAD">
        <w:t>istological features of regional lymphnodes, spleen or viscera of the infected dogs did not show any evidence of metastasis</w:t>
      </w:r>
      <w:r w:rsidR="00C30BE0">
        <w:t>.</w:t>
      </w:r>
    </w:p>
    <w:bookmarkEnd w:id="5"/>
    <w:p w:rsidR="00136F14" w:rsidRPr="00136F14" w:rsidRDefault="00136F14" w:rsidP="00136F14">
      <w:pPr>
        <w:spacing w:line="360" w:lineRule="auto"/>
        <w:jc w:val="both"/>
        <w:rPr>
          <w:rFonts w:cs="Arial"/>
          <w:b/>
          <w:bCs/>
          <w:kern w:val="32"/>
        </w:rPr>
      </w:pPr>
    </w:p>
    <w:p w:rsidR="00136F14" w:rsidRPr="00136F14" w:rsidRDefault="00136F14" w:rsidP="00136F14">
      <w:pPr>
        <w:spacing w:line="360" w:lineRule="auto"/>
        <w:jc w:val="both"/>
      </w:pPr>
      <w:r w:rsidRPr="00136F14">
        <w:t>In the present case, as the dog was a stray and municipal authority has decided to perform euthanasia instead of any treatment approaches</w:t>
      </w:r>
      <w:r w:rsidR="00C30BE0">
        <w:t>,</w:t>
      </w:r>
      <w:r w:rsidRPr="00136F14">
        <w:t xml:space="preserve"> no such attempt was taken. But</w:t>
      </w:r>
      <w:bookmarkStart w:id="6" w:name="_Toc299483848"/>
      <w:bookmarkStart w:id="7" w:name="_Toc299550204"/>
      <w:bookmarkStart w:id="8" w:name="_Toc299550292"/>
      <w:bookmarkStart w:id="9" w:name="_Toc299550455"/>
      <w:r w:rsidRPr="00136F14">
        <w:t xml:space="preserve"> surgery has been extensively used for the treatment of TVT even though recurrence rate is said to be high (Rogers, 1997). The histopathological features of the tumor lesions in present the case confirmed a progressive phage CTVT in penile region without any evidence of metastasis. However, detailed analysis of the origin of these round (tumor) cells types was not determined. Finally, this is possibly the first case report in regarding progressive type CTVT in a male stray dog at Chittagong, Bangladesh.</w:t>
      </w:r>
    </w:p>
    <w:p w:rsidR="00136F14" w:rsidRDefault="00136F14" w:rsidP="00136F14">
      <w:pPr>
        <w:spacing w:line="360" w:lineRule="auto"/>
        <w:jc w:val="both"/>
      </w:pPr>
    </w:p>
    <w:p w:rsidR="006F1CED" w:rsidRPr="00136F14" w:rsidRDefault="006F1CED" w:rsidP="00136F14">
      <w:pPr>
        <w:spacing w:line="360" w:lineRule="auto"/>
        <w:jc w:val="both"/>
      </w:pPr>
    </w:p>
    <w:p w:rsidR="00136F14" w:rsidRPr="00136F14" w:rsidRDefault="00136F14" w:rsidP="00136F14">
      <w:pPr>
        <w:pStyle w:val="Heading1"/>
        <w:numPr>
          <w:ilvl w:val="0"/>
          <w:numId w:val="0"/>
        </w:numPr>
        <w:spacing w:line="276" w:lineRule="auto"/>
        <w:rPr>
          <w:szCs w:val="24"/>
        </w:rPr>
      </w:pPr>
      <w:bookmarkStart w:id="10" w:name="_Toc299483849"/>
      <w:bookmarkStart w:id="11" w:name="_Toc299550205"/>
      <w:bookmarkStart w:id="12" w:name="_Toc299550293"/>
      <w:bookmarkStart w:id="13" w:name="_Toc299550457"/>
      <w:bookmarkEnd w:id="6"/>
      <w:bookmarkEnd w:id="7"/>
      <w:bookmarkEnd w:id="8"/>
      <w:bookmarkEnd w:id="9"/>
      <w:r w:rsidRPr="00136F14">
        <w:rPr>
          <w:szCs w:val="24"/>
        </w:rPr>
        <w:t xml:space="preserve">References </w:t>
      </w:r>
      <w:bookmarkEnd w:id="10"/>
      <w:bookmarkEnd w:id="11"/>
      <w:bookmarkEnd w:id="12"/>
      <w:bookmarkEnd w:id="13"/>
    </w:p>
    <w:p w:rsidR="00136F14" w:rsidRPr="003559FE" w:rsidRDefault="003559FE" w:rsidP="00136F14">
      <w:pPr>
        <w:spacing w:line="360" w:lineRule="auto"/>
        <w:ind w:left="720" w:hanging="720"/>
        <w:jc w:val="both"/>
      </w:pPr>
      <w:r w:rsidRPr="003559FE">
        <w:t>Coles EH (</w:t>
      </w:r>
      <w:r w:rsidR="00136F14" w:rsidRPr="003559FE">
        <w:t>1986</w:t>
      </w:r>
      <w:r w:rsidRPr="003559FE">
        <w:t>)</w:t>
      </w:r>
      <w:r w:rsidR="00136F14" w:rsidRPr="003559FE">
        <w:t>. Veterinary Clinical Pathology</w:t>
      </w:r>
      <w:r w:rsidRPr="003559FE">
        <w:t xml:space="preserve"> (</w:t>
      </w:r>
      <w:r w:rsidR="00136F14" w:rsidRPr="003559FE">
        <w:t>4</w:t>
      </w:r>
      <w:r w:rsidR="00136F14" w:rsidRPr="003559FE">
        <w:rPr>
          <w:vertAlign w:val="superscript"/>
        </w:rPr>
        <w:t>th</w:t>
      </w:r>
      <w:r w:rsidRPr="003559FE">
        <w:t xml:space="preserve"> Ed</w:t>
      </w:r>
      <w:r w:rsidR="00136F14" w:rsidRPr="003559FE">
        <w:t>.</w:t>
      </w:r>
      <w:r w:rsidRPr="003559FE">
        <w:t>), W.B. Saunders. Co. Inc.</w:t>
      </w:r>
      <w:r>
        <w:t>,</w:t>
      </w:r>
      <w:r w:rsidRPr="003559FE">
        <w:t xml:space="preserve"> Philadelphia, pp</w:t>
      </w:r>
      <w:r w:rsidR="00136F14" w:rsidRPr="003559FE">
        <w:t xml:space="preserve"> 486-488.</w:t>
      </w:r>
    </w:p>
    <w:p w:rsidR="00136F14" w:rsidRPr="003559FE" w:rsidRDefault="003559FE" w:rsidP="00136F14">
      <w:pPr>
        <w:autoSpaceDE w:val="0"/>
        <w:autoSpaceDN w:val="0"/>
        <w:adjustRightInd w:val="0"/>
        <w:spacing w:line="360" w:lineRule="auto"/>
        <w:ind w:left="720" w:hanging="720"/>
        <w:jc w:val="both"/>
      </w:pPr>
      <w:r w:rsidRPr="003559FE">
        <w:t>Cowell RL, Tyler ED, Meinkoth JH</w:t>
      </w:r>
      <w:r w:rsidR="00136F14" w:rsidRPr="003559FE">
        <w:t xml:space="preserve"> and D</w:t>
      </w:r>
      <w:r w:rsidRPr="003559FE">
        <w:t>enicola DB</w:t>
      </w:r>
      <w:r w:rsidR="00136F14" w:rsidRPr="003559FE">
        <w:t xml:space="preserve"> </w:t>
      </w:r>
      <w:r w:rsidRPr="003559FE">
        <w:t>(</w:t>
      </w:r>
      <w:r w:rsidR="00136F14" w:rsidRPr="003559FE">
        <w:t>2008</w:t>
      </w:r>
      <w:r w:rsidRPr="003559FE">
        <w:t>)</w:t>
      </w:r>
      <w:r w:rsidR="00136F14" w:rsidRPr="003559FE">
        <w:t>. Diagnostic Cytology and Hematology of Dog and Cat</w:t>
      </w:r>
      <w:r w:rsidRPr="003559FE">
        <w:t xml:space="preserve"> (</w:t>
      </w:r>
      <w:r w:rsidR="00136F14" w:rsidRPr="003559FE">
        <w:t>3</w:t>
      </w:r>
      <w:r w:rsidR="00136F14" w:rsidRPr="003559FE">
        <w:rPr>
          <w:vertAlign w:val="superscript"/>
        </w:rPr>
        <w:t>rd</w:t>
      </w:r>
      <w:r w:rsidRPr="003559FE">
        <w:t xml:space="preserve">  Ed</w:t>
      </w:r>
      <w:r w:rsidR="00136F14" w:rsidRPr="003559FE">
        <w:t>.</w:t>
      </w:r>
      <w:r w:rsidRPr="003559FE">
        <w:t xml:space="preserve">), Mosby Elsevier, Missouri. USA, pp </w:t>
      </w:r>
      <w:r w:rsidR="00136F14" w:rsidRPr="003559FE">
        <w:t>1-18.</w:t>
      </w:r>
    </w:p>
    <w:p w:rsidR="00136F14" w:rsidRPr="003559FE" w:rsidRDefault="00136F14" w:rsidP="00136F14">
      <w:pPr>
        <w:spacing w:line="360" w:lineRule="auto"/>
        <w:ind w:left="720" w:hanging="720"/>
        <w:jc w:val="both"/>
      </w:pPr>
      <w:r w:rsidRPr="003559FE">
        <w:rPr>
          <w:rStyle w:val="Emphasis"/>
          <w:i w:val="0"/>
        </w:rPr>
        <w:t>Luna</w:t>
      </w:r>
      <w:r w:rsidRPr="003559FE">
        <w:rPr>
          <w:i/>
        </w:rPr>
        <w:t xml:space="preserve"> </w:t>
      </w:r>
      <w:r w:rsidR="003559FE" w:rsidRPr="003559FE">
        <w:t>L</w:t>
      </w:r>
      <w:r w:rsidRPr="003559FE">
        <w:t>G</w:t>
      </w:r>
      <w:r w:rsidRPr="003559FE">
        <w:rPr>
          <w:i/>
        </w:rPr>
        <w:t xml:space="preserve"> </w:t>
      </w:r>
      <w:r w:rsidR="003559FE" w:rsidRPr="003559FE">
        <w:t>(</w:t>
      </w:r>
      <w:r w:rsidRPr="003559FE">
        <w:t>1968</w:t>
      </w:r>
      <w:r w:rsidR="003559FE" w:rsidRPr="003559FE">
        <w:t>)</w:t>
      </w:r>
      <w:r w:rsidRPr="003559FE">
        <w:t>.</w:t>
      </w:r>
      <w:r w:rsidRPr="003559FE">
        <w:rPr>
          <w:i/>
        </w:rPr>
        <w:t xml:space="preserve"> </w:t>
      </w:r>
      <w:r w:rsidRPr="003559FE">
        <w:t>Manual of Histologic Staining Methods of Armed Forces Institute of Pathology</w:t>
      </w:r>
      <w:r w:rsidR="003559FE" w:rsidRPr="003559FE">
        <w:t xml:space="preserve"> (</w:t>
      </w:r>
      <w:r w:rsidRPr="003559FE">
        <w:t>3</w:t>
      </w:r>
      <w:r w:rsidRPr="003559FE">
        <w:rPr>
          <w:vertAlign w:val="superscript"/>
        </w:rPr>
        <w:t>rd</w:t>
      </w:r>
      <w:r w:rsidR="003559FE" w:rsidRPr="003559FE">
        <w:t xml:space="preserve"> Ed), McGraw-Hill book company,</w:t>
      </w:r>
      <w:r w:rsidRPr="003559FE">
        <w:t xml:space="preserve"> U</w:t>
      </w:r>
      <w:r w:rsidR="003559FE" w:rsidRPr="003559FE">
        <w:t>SA, pp</w:t>
      </w:r>
      <w:r w:rsidRPr="003559FE">
        <w:t xml:space="preserve"> 1-32. </w:t>
      </w:r>
    </w:p>
    <w:p w:rsidR="00136F14" w:rsidRPr="003559FE" w:rsidRDefault="003559FE" w:rsidP="00136F14">
      <w:pPr>
        <w:autoSpaceDE w:val="0"/>
        <w:autoSpaceDN w:val="0"/>
        <w:adjustRightInd w:val="0"/>
        <w:spacing w:line="360" w:lineRule="auto"/>
        <w:ind w:left="720" w:hanging="720"/>
        <w:jc w:val="both"/>
        <w:rPr>
          <w:rStyle w:val="article-articlebody"/>
        </w:rPr>
      </w:pPr>
      <w:r w:rsidRPr="003559FE">
        <w:rPr>
          <w:rStyle w:val="article-articlebody"/>
        </w:rPr>
        <w:t>MacEwen EG</w:t>
      </w:r>
      <w:r w:rsidR="00136F14" w:rsidRPr="003559FE">
        <w:rPr>
          <w:rStyle w:val="article-articlebody"/>
        </w:rPr>
        <w:t xml:space="preserve"> </w:t>
      </w:r>
      <w:r w:rsidRPr="003559FE">
        <w:rPr>
          <w:rStyle w:val="article-articlebody"/>
        </w:rPr>
        <w:t>(</w:t>
      </w:r>
      <w:r w:rsidR="00136F14" w:rsidRPr="003559FE">
        <w:rPr>
          <w:rStyle w:val="article-articlebody"/>
        </w:rPr>
        <w:t>2001</w:t>
      </w:r>
      <w:r w:rsidRPr="003559FE">
        <w:rPr>
          <w:rStyle w:val="article-articlebody"/>
        </w:rPr>
        <w:t>)</w:t>
      </w:r>
      <w:r w:rsidR="00136F14" w:rsidRPr="003559FE">
        <w:rPr>
          <w:rStyle w:val="article-articlebody"/>
        </w:rPr>
        <w:t xml:space="preserve">. Transmissible venereal tumor. In: </w:t>
      </w:r>
      <w:r w:rsidR="00136F14" w:rsidRPr="003559FE">
        <w:rPr>
          <w:rStyle w:val="article-articlebody"/>
          <w:iCs/>
        </w:rPr>
        <w:t>Small animal clinical oncology</w:t>
      </w:r>
      <w:r w:rsidRPr="003559FE">
        <w:rPr>
          <w:rStyle w:val="article-articlebody"/>
        </w:rPr>
        <w:t xml:space="preserve"> (</w:t>
      </w:r>
      <w:r w:rsidR="00136F14" w:rsidRPr="003559FE">
        <w:rPr>
          <w:rStyle w:val="article-articlebody"/>
        </w:rPr>
        <w:t>3</w:t>
      </w:r>
      <w:r w:rsidR="00136F14" w:rsidRPr="003559FE">
        <w:rPr>
          <w:rStyle w:val="article-articlebody"/>
          <w:vertAlign w:val="superscript"/>
        </w:rPr>
        <w:t>rd</w:t>
      </w:r>
      <w:r w:rsidRPr="003559FE">
        <w:rPr>
          <w:rStyle w:val="article-articlebody"/>
        </w:rPr>
        <w:t xml:space="preserve">  E</w:t>
      </w:r>
      <w:r w:rsidR="00136F14" w:rsidRPr="003559FE">
        <w:rPr>
          <w:rStyle w:val="article-articlebody"/>
        </w:rPr>
        <w:t>d.</w:t>
      </w:r>
      <w:r w:rsidRPr="003559FE">
        <w:rPr>
          <w:rStyle w:val="article-articlebody"/>
        </w:rPr>
        <w:t>),</w:t>
      </w:r>
      <w:r w:rsidR="00136F14" w:rsidRPr="003559FE">
        <w:rPr>
          <w:rStyle w:val="article-articlebody"/>
        </w:rPr>
        <w:t xml:space="preserve"> </w:t>
      </w:r>
      <w:r w:rsidRPr="003559FE">
        <w:t>W.B. Saunders. Co. Inc., Philadelphia,</w:t>
      </w:r>
      <w:r w:rsidRPr="003559FE">
        <w:rPr>
          <w:rStyle w:val="article-articlebody"/>
        </w:rPr>
        <w:t xml:space="preserve"> pp</w:t>
      </w:r>
      <w:r w:rsidR="00136F14" w:rsidRPr="003559FE">
        <w:rPr>
          <w:rStyle w:val="article-articlebody"/>
        </w:rPr>
        <w:t xml:space="preserve"> 651-655.</w:t>
      </w:r>
    </w:p>
    <w:p w:rsidR="00136F14" w:rsidRPr="003559FE" w:rsidRDefault="003559FE" w:rsidP="00136F14">
      <w:pPr>
        <w:pStyle w:val="NormalWeb"/>
        <w:spacing w:before="0" w:beforeAutospacing="0" w:after="0" w:afterAutospacing="0" w:line="360" w:lineRule="auto"/>
        <w:ind w:left="720" w:hanging="720"/>
        <w:jc w:val="both"/>
        <w:rPr>
          <w:rStyle w:val="article-articlebody"/>
        </w:rPr>
      </w:pPr>
      <w:r w:rsidRPr="003559FE">
        <w:rPr>
          <w:rStyle w:val="article-articlebody"/>
        </w:rPr>
        <w:t>Park MS, Kim Y, Kang MS, Oh SY, Cho DY, Shin NS and Kim DY</w:t>
      </w:r>
      <w:r w:rsidR="00136F14" w:rsidRPr="003559FE">
        <w:rPr>
          <w:rStyle w:val="article-articlebody"/>
        </w:rPr>
        <w:t xml:space="preserve"> </w:t>
      </w:r>
      <w:r w:rsidRPr="003559FE">
        <w:rPr>
          <w:rStyle w:val="article-articlebody"/>
        </w:rPr>
        <w:t>(</w:t>
      </w:r>
      <w:r w:rsidR="00136F14" w:rsidRPr="003559FE">
        <w:rPr>
          <w:rStyle w:val="article-articlebody"/>
        </w:rPr>
        <w:t>2006</w:t>
      </w:r>
      <w:r w:rsidRPr="003559FE">
        <w:rPr>
          <w:rStyle w:val="article-articlebody"/>
        </w:rPr>
        <w:t>)</w:t>
      </w:r>
      <w:r w:rsidR="00136F14" w:rsidRPr="003559FE">
        <w:rPr>
          <w:rStyle w:val="article-articlebody"/>
        </w:rPr>
        <w:t xml:space="preserve">. Disseminated transmissible venereal tumor in a dog. J. Vet. Diag. Invest. 18: 130-133. </w:t>
      </w:r>
    </w:p>
    <w:p w:rsidR="00136F14" w:rsidRPr="003559FE" w:rsidRDefault="003559FE" w:rsidP="00136F14">
      <w:pPr>
        <w:autoSpaceDE w:val="0"/>
        <w:autoSpaceDN w:val="0"/>
        <w:adjustRightInd w:val="0"/>
        <w:spacing w:line="360" w:lineRule="auto"/>
        <w:ind w:left="720" w:hanging="720"/>
        <w:jc w:val="both"/>
      </w:pPr>
      <w:r w:rsidRPr="003559FE">
        <w:t>Rogers KS</w:t>
      </w:r>
      <w:r w:rsidR="00136F14" w:rsidRPr="003559FE">
        <w:t xml:space="preserve"> </w:t>
      </w:r>
      <w:r w:rsidRPr="003559FE">
        <w:t>(</w:t>
      </w:r>
      <w:r w:rsidR="00136F14" w:rsidRPr="003559FE">
        <w:t>1997</w:t>
      </w:r>
      <w:r w:rsidRPr="003559FE">
        <w:t>)</w:t>
      </w:r>
      <w:r w:rsidR="00136F14" w:rsidRPr="003559FE">
        <w:t xml:space="preserve">. Transmissible venereal tumor. Comp. Contin. Educ. Pract. Vet. 19: 1036-1045. </w:t>
      </w:r>
    </w:p>
    <w:p w:rsidR="00136F14" w:rsidRPr="00136F14" w:rsidRDefault="003559FE" w:rsidP="00136F14">
      <w:pPr>
        <w:spacing w:line="360" w:lineRule="auto"/>
        <w:ind w:left="720" w:hanging="720"/>
        <w:jc w:val="both"/>
        <w:rPr>
          <w:color w:val="FF0000"/>
        </w:rPr>
      </w:pPr>
      <w:r w:rsidRPr="003559FE">
        <w:rPr>
          <w:lang w:val="fr-FR"/>
        </w:rPr>
        <w:t>Santos FGA, Vasconcelos AC, Nunes JES, Cassali GD</w:t>
      </w:r>
      <w:r w:rsidR="00136F14" w:rsidRPr="003559FE">
        <w:rPr>
          <w:lang w:val="fr-FR"/>
        </w:rPr>
        <w:t>, Paixao</w:t>
      </w:r>
      <w:r w:rsidRPr="003559FE">
        <w:rPr>
          <w:lang w:val="fr-FR"/>
        </w:rPr>
        <w:t xml:space="preserve"> TA and Moro L</w:t>
      </w:r>
      <w:r w:rsidR="00136F14" w:rsidRPr="003559FE">
        <w:rPr>
          <w:lang w:val="fr-FR"/>
        </w:rPr>
        <w:t xml:space="preserve"> </w:t>
      </w:r>
      <w:r w:rsidRPr="003559FE">
        <w:rPr>
          <w:lang w:val="fr-FR"/>
        </w:rPr>
        <w:t>(</w:t>
      </w:r>
      <w:r w:rsidR="00136F14" w:rsidRPr="003559FE">
        <w:rPr>
          <w:lang w:val="fr-FR"/>
        </w:rPr>
        <w:t>2005</w:t>
      </w:r>
      <w:r w:rsidRPr="003559FE">
        <w:rPr>
          <w:lang w:val="fr-FR"/>
        </w:rPr>
        <w:t>)</w:t>
      </w:r>
      <w:r w:rsidR="00136F14" w:rsidRPr="003559FE">
        <w:rPr>
          <w:lang w:val="fr-FR"/>
        </w:rPr>
        <w:t xml:space="preserve">. </w:t>
      </w:r>
      <w:r w:rsidR="00136F14" w:rsidRPr="003559FE">
        <w:t xml:space="preserve">The canine Transmissible Venereal Tumor – General Aspects and Molecular Approach (Review). </w:t>
      </w:r>
      <w:r w:rsidR="00136F14" w:rsidRPr="003559FE">
        <w:rPr>
          <w:iCs/>
        </w:rPr>
        <w:t xml:space="preserve">Biosci. </w:t>
      </w:r>
      <w:r w:rsidR="00136F14" w:rsidRPr="003559FE">
        <w:t>J. 21: 41-53.</w:t>
      </w:r>
      <w:r w:rsidR="00136F14" w:rsidRPr="00136F14">
        <w:rPr>
          <w:color w:val="FF0000"/>
        </w:rPr>
        <w:t xml:space="preserve"> </w:t>
      </w:r>
    </w:p>
    <w:p w:rsidR="00136F14" w:rsidRPr="0084059C" w:rsidRDefault="003559FE" w:rsidP="00136F14">
      <w:pPr>
        <w:spacing w:line="360" w:lineRule="auto"/>
        <w:ind w:left="720" w:hanging="720"/>
        <w:jc w:val="both"/>
        <w:rPr>
          <w:lang w:val="it-IT"/>
        </w:rPr>
      </w:pPr>
      <w:r w:rsidRPr="0084059C">
        <w:rPr>
          <w:lang w:val="it-IT"/>
        </w:rPr>
        <w:t>Tasqueti UI, Martins MIM, Boselli CC</w:t>
      </w:r>
      <w:r w:rsidR="00136F14" w:rsidRPr="0084059C">
        <w:rPr>
          <w:lang w:val="it-IT"/>
        </w:rPr>
        <w:t xml:space="preserve"> et al. </w:t>
      </w:r>
      <w:r w:rsidR="0084059C" w:rsidRPr="0084059C">
        <w:rPr>
          <w:lang w:val="it-IT"/>
        </w:rPr>
        <w:t>(</w:t>
      </w:r>
      <w:r w:rsidR="00136F14" w:rsidRPr="0084059C">
        <w:rPr>
          <w:lang w:val="it-IT"/>
        </w:rPr>
        <w:t>1999</w:t>
      </w:r>
      <w:r w:rsidR="0084059C" w:rsidRPr="0084059C">
        <w:rPr>
          <w:lang w:val="it-IT"/>
        </w:rPr>
        <w:t>)</w:t>
      </w:r>
      <w:r w:rsidR="00136F14" w:rsidRPr="0084059C">
        <w:rPr>
          <w:lang w:val="it-IT"/>
        </w:rPr>
        <w:t>.  Um caso atípico de TVT com deslocamento cranial de vagina. Ana</w:t>
      </w:r>
      <w:r w:rsidR="0084059C" w:rsidRPr="0084059C">
        <w:rPr>
          <w:lang w:val="it-IT"/>
        </w:rPr>
        <w:t xml:space="preserve">is do XX Congresso da ANCLIVEPA, pp </w:t>
      </w:r>
      <w:r w:rsidR="00136F14" w:rsidRPr="0084059C">
        <w:rPr>
          <w:lang w:val="it-IT"/>
        </w:rPr>
        <w:t xml:space="preserve">38. </w:t>
      </w:r>
    </w:p>
    <w:p w:rsidR="00D357C9" w:rsidRPr="00136F14" w:rsidRDefault="00D357C9" w:rsidP="00136F14">
      <w:pPr>
        <w:rPr>
          <w:szCs w:val="32"/>
        </w:rPr>
      </w:pPr>
    </w:p>
    <w:sectPr w:rsidR="00D357C9" w:rsidRPr="00136F14" w:rsidSect="00D81095">
      <w:headerReference w:type="even" r:id="rId9"/>
      <w:headerReference w:type="default" r:id="rId10"/>
      <w:footerReference w:type="even" r:id="rId11"/>
      <w:footerReference w:type="default" r:id="rId12"/>
      <w:footerReference w:type="first" r:id="rId13"/>
      <w:pgSz w:w="11909" w:h="16834" w:code="9"/>
      <w:pgMar w:top="1440" w:right="1440" w:bottom="1440" w:left="1440" w:header="720" w:footer="720" w:gutter="0"/>
      <w:lnNumType w:countBy="1" w:restart="continuou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BDE" w:rsidRDefault="00D35BDE">
      <w:r>
        <w:separator/>
      </w:r>
    </w:p>
  </w:endnote>
  <w:endnote w:type="continuationSeparator" w:id="1">
    <w:p w:rsidR="00D35BDE" w:rsidRDefault="00D35B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14" w:rsidRDefault="00437C85" w:rsidP="006C4209">
    <w:pPr>
      <w:pStyle w:val="Footer"/>
      <w:framePr w:wrap="around" w:vAnchor="text" w:hAnchor="margin" w:xAlign="center" w:y="1"/>
      <w:rPr>
        <w:rStyle w:val="PageNumber"/>
      </w:rPr>
    </w:pPr>
    <w:r>
      <w:rPr>
        <w:rStyle w:val="PageNumber"/>
      </w:rPr>
      <w:fldChar w:fldCharType="begin"/>
    </w:r>
    <w:r w:rsidR="00136F14">
      <w:rPr>
        <w:rStyle w:val="PageNumber"/>
      </w:rPr>
      <w:instrText xml:space="preserve">PAGE  </w:instrText>
    </w:r>
    <w:r>
      <w:rPr>
        <w:rStyle w:val="PageNumber"/>
      </w:rPr>
      <w:fldChar w:fldCharType="end"/>
    </w:r>
  </w:p>
  <w:p w:rsidR="00136F14" w:rsidRDefault="00136F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7443"/>
      <w:docPartObj>
        <w:docPartGallery w:val="Page Numbers (Bottom of Page)"/>
        <w:docPartUnique/>
      </w:docPartObj>
    </w:sdtPr>
    <w:sdtContent>
      <w:p w:rsidR="00136F14" w:rsidRDefault="00136F14" w:rsidP="00777FEF">
        <w:pPr>
          <w:pStyle w:val="Footer"/>
          <w:jc w:val="center"/>
        </w:pPr>
      </w:p>
      <w:p w:rsidR="00136F14" w:rsidRDefault="00437C85">
        <w:pPr>
          <w:pStyle w:val="Footer"/>
          <w:jc w:val="center"/>
        </w:pPr>
      </w:p>
    </w:sdtContent>
  </w:sdt>
  <w:p w:rsidR="00136F14" w:rsidRDefault="00136F1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14" w:rsidRDefault="00136F14">
    <w:pPr>
      <w:pStyle w:val="Footer"/>
      <w:jc w:val="center"/>
    </w:pPr>
  </w:p>
  <w:p w:rsidR="00136F14" w:rsidRDefault="00136F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BDE" w:rsidRDefault="00D35BDE">
      <w:r>
        <w:separator/>
      </w:r>
    </w:p>
  </w:footnote>
  <w:footnote w:type="continuationSeparator" w:id="1">
    <w:p w:rsidR="00D35BDE" w:rsidRDefault="00D35B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14" w:rsidRDefault="00437C85" w:rsidP="00940CE4">
    <w:pPr>
      <w:pStyle w:val="Header"/>
      <w:framePr w:wrap="around" w:vAnchor="text" w:hAnchor="margin" w:xAlign="right" w:y="1"/>
      <w:rPr>
        <w:rStyle w:val="PageNumber"/>
      </w:rPr>
    </w:pPr>
    <w:r>
      <w:rPr>
        <w:rStyle w:val="PageNumber"/>
      </w:rPr>
      <w:fldChar w:fldCharType="begin"/>
    </w:r>
    <w:r w:rsidR="00136F14">
      <w:rPr>
        <w:rStyle w:val="PageNumber"/>
      </w:rPr>
      <w:instrText xml:space="preserve">PAGE  </w:instrText>
    </w:r>
    <w:r>
      <w:rPr>
        <w:rStyle w:val="PageNumber"/>
      </w:rPr>
      <w:fldChar w:fldCharType="end"/>
    </w:r>
  </w:p>
  <w:p w:rsidR="00136F14" w:rsidRDefault="00136F14" w:rsidP="00806F3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14" w:rsidRDefault="00136F14" w:rsidP="006C4209">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04E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03AC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37B6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6C0AB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85D1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C25CE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0C401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4F4C2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6E785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801CC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6F0645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2A063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530D4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566DD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22006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82682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85631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A10A3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9C16BB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9EE208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A5D33F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322E9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B697F8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B5270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D1919A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D5E7C6D"/>
    <w:multiLevelType w:val="hybridMultilevel"/>
    <w:tmpl w:val="F3221AE4"/>
    <w:lvl w:ilvl="0" w:tplc="D1DA3EAE">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702D6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DC61BD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DC854D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DC9105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EB85BE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F224D7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F8B773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FE442F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0A1190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13833E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1DF3E0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26C617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36D5E4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4286E5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5503FE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6892A4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EE542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88E45E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8CC750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8E5329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9AB73A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9D52B1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B78123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C367D2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C872FC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CDB422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CF6454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DC971A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DCB255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DFA363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EB9499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ED2205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FA8209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FB2230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FB4692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FEE22B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03B2EC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0895C6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0A3348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106104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16D1C6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23B650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275288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2D0395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2E9012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425586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4451BD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25084E5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66B054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6747CC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71D386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7E548C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801601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849458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862028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9C237F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9EA3D6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A7F108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ACF117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B8E0F1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C7D734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C932FE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CCF4E1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D05433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D054E8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2D8B633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E0B089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2EB6396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EC4600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FE817E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040350D"/>
    <w:multiLevelType w:val="multilevel"/>
    <w:tmpl w:val="1A00FA14"/>
    <w:lvl w:ilvl="0">
      <w:start w:val="1"/>
      <w:numFmt w:val="none"/>
      <w:pStyle w:val="Heading1"/>
      <w:lvlText w:val="5"/>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7">
    <w:nsid w:val="304D26E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05149A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0A86BB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0D0517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10E1A8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1152BB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14C6E1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188795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21C0C8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23F51C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286768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2995FC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2BD391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3143E4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3364345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364520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33767B2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4042C9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3419608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34B074F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34B301E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34ED387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351C2FA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52047F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386D0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353B5CC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361C09B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67B52C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374107D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375E423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377C4CE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BC556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39192F9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394F3F9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3A3D02D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3A5458A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3B0A267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3B35133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3B363D3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3BD92F2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3C4E4D4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3CC645C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3D18126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3D5A663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3DB1025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3DD00F6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3DDA052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3DE6644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3DF52D9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3F2417E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3F5F711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3FD337F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3FE456B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3FE9164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40C1623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40CB5B6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11B71B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416F7C0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198340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4234011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42474E7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25E4D0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428A6D9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42CB1DA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43974AF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45B1C8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44C56B9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45B03B3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45DE232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460032B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462667A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4636525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465625A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46980AF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46FA1AC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476111F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48C15DC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4966001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49AF7A9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49C8362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49FB6E2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4A0437F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4B05479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4B8866F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4C1A45A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4CC617C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4CD416F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4D2B405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4D4348F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4DAC09D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4E6C407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4EAF5FC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ED44FE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4F7E5A9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502F698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50382E7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50A92D82"/>
    <w:multiLevelType w:val="hybridMultilevel"/>
    <w:tmpl w:val="2D509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512F320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523D327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52682C6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545C1A1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5493633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56D0A8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557644D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55991E5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560B1D4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565E2B0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56B06AA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56DD23E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56F9471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56FC378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57A5163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57BE608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591E1FF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593F0E1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5949105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5A1D5BA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5A8E348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5B790CF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5CBB3E8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5D37620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5D4A277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5D7B0B8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5E78746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5EC15E7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5EED031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5EF92F6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5F7137A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5FD7027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600617F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602E118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60711A9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60CB127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60E73E0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61E971D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621C116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62BA512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62E250E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635F702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635F75B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651E0648"/>
    <w:multiLevelType w:val="hybridMultilevel"/>
    <w:tmpl w:val="373A2C56"/>
    <w:lvl w:ilvl="0" w:tplc="0486F6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8">
    <w:nsid w:val="65803F0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6582066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661E56C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6706184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67A56728"/>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68432B6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69453C5F"/>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69C60E7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6A0F7C8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6A1F652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6A47036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6A99427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6BBE335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6C02568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6C3E5103"/>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6C43022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C6C3D9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6CD2714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nsid w:val="6D44117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6D4B2A6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nsid w:val="6D75039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6DD96D0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6E132AB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6F4B70B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725C07A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72877C3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72C3634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72E4578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730A2684"/>
    <w:multiLevelType w:val="hybridMultilevel"/>
    <w:tmpl w:val="F3221AE4"/>
    <w:lvl w:ilvl="0" w:tplc="D1DA3EAE">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734450CA"/>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nsid w:val="75BC06D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75C85D1C"/>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762C471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7679526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76AA1F9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76E04F7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7724736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77E010F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784A70A7"/>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78603AE6"/>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792A21C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7AD05DC1"/>
    <w:multiLevelType w:val="hybridMultilevel"/>
    <w:tmpl w:val="138640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nsid w:val="7B617D9D"/>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7B8E4604"/>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7B8F6485"/>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7BF828C9"/>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nsid w:val="7C29014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7C8C6B01"/>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7E1C3E00"/>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nsid w:val="7E317B4E"/>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7F0E027B"/>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7F623992"/>
    <w:multiLevelType w:val="hybridMultilevel"/>
    <w:tmpl w:val="A38479A2"/>
    <w:lvl w:ilvl="0" w:tplc="D83AE75A">
      <w:start w:val="1"/>
      <w:numFmt w:val="lowerLetter"/>
      <w:lvlText w:val="%1."/>
      <w:lvlJc w:val="lef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237"/>
  </w:num>
  <w:num w:numId="3">
    <w:abstractNumId w:val="178"/>
  </w:num>
  <w:num w:numId="4">
    <w:abstractNumId w:val="266"/>
  </w:num>
  <w:num w:numId="5">
    <w:abstractNumId w:val="25"/>
  </w:num>
  <w:num w:numId="6">
    <w:abstractNumId w:val="250"/>
  </w:num>
  <w:num w:numId="7">
    <w:abstractNumId w:val="151"/>
  </w:num>
  <w:num w:numId="8">
    <w:abstractNumId w:val="280"/>
  </w:num>
  <w:num w:numId="9">
    <w:abstractNumId w:val="155"/>
  </w:num>
  <w:num w:numId="10">
    <w:abstractNumId w:val="167"/>
  </w:num>
  <w:num w:numId="11">
    <w:abstractNumId w:val="189"/>
  </w:num>
  <w:num w:numId="12">
    <w:abstractNumId w:val="282"/>
  </w:num>
  <w:num w:numId="13">
    <w:abstractNumId w:val="40"/>
  </w:num>
  <w:num w:numId="14">
    <w:abstractNumId w:val="244"/>
  </w:num>
  <w:num w:numId="15">
    <w:abstractNumId w:val="200"/>
  </w:num>
  <w:num w:numId="16">
    <w:abstractNumId w:val="114"/>
  </w:num>
  <w:num w:numId="17">
    <w:abstractNumId w:val="17"/>
  </w:num>
  <w:num w:numId="18">
    <w:abstractNumId w:val="74"/>
  </w:num>
  <w:num w:numId="19">
    <w:abstractNumId w:val="54"/>
  </w:num>
  <w:num w:numId="20">
    <w:abstractNumId w:val="46"/>
  </w:num>
  <w:num w:numId="21">
    <w:abstractNumId w:val="146"/>
  </w:num>
  <w:num w:numId="22">
    <w:abstractNumId w:val="256"/>
  </w:num>
  <w:num w:numId="23">
    <w:abstractNumId w:val="8"/>
  </w:num>
  <w:num w:numId="24">
    <w:abstractNumId w:val="30"/>
  </w:num>
  <w:num w:numId="25">
    <w:abstractNumId w:val="172"/>
  </w:num>
  <w:num w:numId="26">
    <w:abstractNumId w:val="39"/>
  </w:num>
  <w:num w:numId="27">
    <w:abstractNumId w:val="241"/>
  </w:num>
  <w:num w:numId="28">
    <w:abstractNumId w:val="262"/>
  </w:num>
  <w:num w:numId="29">
    <w:abstractNumId w:val="140"/>
  </w:num>
  <w:num w:numId="30">
    <w:abstractNumId w:val="159"/>
  </w:num>
  <w:num w:numId="31">
    <w:abstractNumId w:val="95"/>
  </w:num>
  <w:num w:numId="32">
    <w:abstractNumId w:val="264"/>
  </w:num>
  <w:num w:numId="33">
    <w:abstractNumId w:val="195"/>
  </w:num>
  <w:num w:numId="34">
    <w:abstractNumId w:val="206"/>
  </w:num>
  <w:num w:numId="35">
    <w:abstractNumId w:val="119"/>
  </w:num>
  <w:num w:numId="36">
    <w:abstractNumId w:val="107"/>
  </w:num>
  <w:num w:numId="37">
    <w:abstractNumId w:val="99"/>
  </w:num>
  <w:num w:numId="38">
    <w:abstractNumId w:val="41"/>
  </w:num>
  <w:num w:numId="39">
    <w:abstractNumId w:val="160"/>
  </w:num>
  <w:num w:numId="40">
    <w:abstractNumId w:val="86"/>
  </w:num>
  <w:num w:numId="41">
    <w:abstractNumId w:val="286"/>
  </w:num>
  <w:num w:numId="42">
    <w:abstractNumId w:val="201"/>
  </w:num>
  <w:num w:numId="43">
    <w:abstractNumId w:val="217"/>
  </w:num>
  <w:num w:numId="44">
    <w:abstractNumId w:val="72"/>
  </w:num>
  <w:num w:numId="45">
    <w:abstractNumId w:val="181"/>
  </w:num>
  <w:num w:numId="46">
    <w:abstractNumId w:val="247"/>
  </w:num>
  <w:num w:numId="47">
    <w:abstractNumId w:val="65"/>
  </w:num>
  <w:num w:numId="48">
    <w:abstractNumId w:val="121"/>
  </w:num>
  <w:num w:numId="49">
    <w:abstractNumId w:val="208"/>
  </w:num>
  <w:num w:numId="50">
    <w:abstractNumId w:val="37"/>
  </w:num>
  <w:num w:numId="51">
    <w:abstractNumId w:val="153"/>
  </w:num>
  <w:num w:numId="52">
    <w:abstractNumId w:val="21"/>
  </w:num>
  <w:num w:numId="53">
    <w:abstractNumId w:val="23"/>
  </w:num>
  <w:num w:numId="54">
    <w:abstractNumId w:val="161"/>
  </w:num>
  <w:num w:numId="55">
    <w:abstractNumId w:val="198"/>
  </w:num>
  <w:num w:numId="56">
    <w:abstractNumId w:val="246"/>
  </w:num>
  <w:num w:numId="57">
    <w:abstractNumId w:val="22"/>
  </w:num>
  <w:num w:numId="58">
    <w:abstractNumId w:val="5"/>
  </w:num>
  <w:num w:numId="59">
    <w:abstractNumId w:val="80"/>
  </w:num>
  <w:num w:numId="60">
    <w:abstractNumId w:val="44"/>
  </w:num>
  <w:num w:numId="61">
    <w:abstractNumId w:val="3"/>
  </w:num>
  <w:num w:numId="62">
    <w:abstractNumId w:val="130"/>
  </w:num>
  <w:num w:numId="63">
    <w:abstractNumId w:val="251"/>
  </w:num>
  <w:num w:numId="64">
    <w:abstractNumId w:val="233"/>
  </w:num>
  <w:num w:numId="65">
    <w:abstractNumId w:val="259"/>
  </w:num>
  <w:num w:numId="66">
    <w:abstractNumId w:val="126"/>
  </w:num>
  <w:num w:numId="67">
    <w:abstractNumId w:val="97"/>
  </w:num>
  <w:num w:numId="68">
    <w:abstractNumId w:val="53"/>
  </w:num>
  <w:num w:numId="69">
    <w:abstractNumId w:val="263"/>
  </w:num>
  <w:num w:numId="70">
    <w:abstractNumId w:val="125"/>
  </w:num>
  <w:num w:numId="71">
    <w:abstractNumId w:val="108"/>
  </w:num>
  <w:num w:numId="72">
    <w:abstractNumId w:val="36"/>
  </w:num>
  <w:num w:numId="73">
    <w:abstractNumId w:val="12"/>
  </w:num>
  <w:num w:numId="74">
    <w:abstractNumId w:val="166"/>
  </w:num>
  <w:num w:numId="75">
    <w:abstractNumId w:val="207"/>
  </w:num>
  <w:num w:numId="76">
    <w:abstractNumId w:val="66"/>
  </w:num>
  <w:num w:numId="77">
    <w:abstractNumId w:val="187"/>
  </w:num>
  <w:num w:numId="78">
    <w:abstractNumId w:val="267"/>
  </w:num>
  <w:num w:numId="79">
    <w:abstractNumId w:val="51"/>
  </w:num>
  <w:num w:numId="80">
    <w:abstractNumId w:val="190"/>
  </w:num>
  <w:num w:numId="81">
    <w:abstractNumId w:val="104"/>
  </w:num>
  <w:num w:numId="82">
    <w:abstractNumId w:val="29"/>
  </w:num>
  <w:num w:numId="83">
    <w:abstractNumId w:val="106"/>
  </w:num>
  <w:num w:numId="84">
    <w:abstractNumId w:val="43"/>
  </w:num>
  <w:num w:numId="85">
    <w:abstractNumId w:val="230"/>
  </w:num>
  <w:num w:numId="86">
    <w:abstractNumId w:val="71"/>
  </w:num>
  <w:num w:numId="87">
    <w:abstractNumId w:val="157"/>
  </w:num>
  <w:num w:numId="88">
    <w:abstractNumId w:val="78"/>
  </w:num>
  <w:num w:numId="89">
    <w:abstractNumId w:val="98"/>
  </w:num>
  <w:num w:numId="90">
    <w:abstractNumId w:val="145"/>
  </w:num>
  <w:num w:numId="91">
    <w:abstractNumId w:val="156"/>
  </w:num>
  <w:num w:numId="92">
    <w:abstractNumId w:val="77"/>
  </w:num>
  <w:num w:numId="93">
    <w:abstractNumId w:val="19"/>
  </w:num>
  <w:num w:numId="94">
    <w:abstractNumId w:val="49"/>
  </w:num>
  <w:num w:numId="95">
    <w:abstractNumId w:val="163"/>
  </w:num>
  <w:num w:numId="96">
    <w:abstractNumId w:val="91"/>
  </w:num>
  <w:num w:numId="97">
    <w:abstractNumId w:val="199"/>
  </w:num>
  <w:num w:numId="98">
    <w:abstractNumId w:val="243"/>
  </w:num>
  <w:num w:numId="99">
    <w:abstractNumId w:val="254"/>
  </w:num>
  <w:num w:numId="100">
    <w:abstractNumId w:val="7"/>
  </w:num>
  <w:num w:numId="101">
    <w:abstractNumId w:val="242"/>
  </w:num>
  <w:num w:numId="102">
    <w:abstractNumId w:val="103"/>
  </w:num>
  <w:num w:numId="103">
    <w:abstractNumId w:val="141"/>
  </w:num>
  <w:num w:numId="104">
    <w:abstractNumId w:val="57"/>
  </w:num>
  <w:num w:numId="105">
    <w:abstractNumId w:val="269"/>
  </w:num>
  <w:num w:numId="106">
    <w:abstractNumId w:val="129"/>
  </w:num>
  <w:num w:numId="107">
    <w:abstractNumId w:val="229"/>
  </w:num>
  <w:num w:numId="108">
    <w:abstractNumId w:val="235"/>
  </w:num>
  <w:num w:numId="109">
    <w:abstractNumId w:val="173"/>
  </w:num>
  <w:num w:numId="110">
    <w:abstractNumId w:val="272"/>
  </w:num>
  <w:num w:numId="111">
    <w:abstractNumId w:val="118"/>
  </w:num>
  <w:num w:numId="112">
    <w:abstractNumId w:val="277"/>
  </w:num>
  <w:num w:numId="113">
    <w:abstractNumId w:val="197"/>
  </w:num>
  <w:num w:numId="114">
    <w:abstractNumId w:val="137"/>
  </w:num>
  <w:num w:numId="115">
    <w:abstractNumId w:val="287"/>
  </w:num>
  <w:num w:numId="116">
    <w:abstractNumId w:val="143"/>
  </w:num>
  <w:num w:numId="117">
    <w:abstractNumId w:val="234"/>
  </w:num>
  <w:num w:numId="118">
    <w:abstractNumId w:val="1"/>
  </w:num>
  <w:num w:numId="119">
    <w:abstractNumId w:val="48"/>
  </w:num>
  <w:num w:numId="120">
    <w:abstractNumId w:val="27"/>
  </w:num>
  <w:num w:numId="121">
    <w:abstractNumId w:val="58"/>
  </w:num>
  <w:num w:numId="122">
    <w:abstractNumId w:val="82"/>
  </w:num>
  <w:num w:numId="123">
    <w:abstractNumId w:val="210"/>
  </w:num>
  <w:num w:numId="124">
    <w:abstractNumId w:val="252"/>
  </w:num>
  <w:num w:numId="125">
    <w:abstractNumId w:val="56"/>
  </w:num>
  <w:num w:numId="126">
    <w:abstractNumId w:val="11"/>
  </w:num>
  <w:num w:numId="127">
    <w:abstractNumId w:val="258"/>
  </w:num>
  <w:num w:numId="128">
    <w:abstractNumId w:val="270"/>
  </w:num>
  <w:num w:numId="129">
    <w:abstractNumId w:val="0"/>
  </w:num>
  <w:num w:numId="130">
    <w:abstractNumId w:val="116"/>
  </w:num>
  <w:num w:numId="131">
    <w:abstractNumId w:val="113"/>
  </w:num>
  <w:num w:numId="132">
    <w:abstractNumId w:val="76"/>
  </w:num>
  <w:num w:numId="133">
    <w:abstractNumId w:val="31"/>
  </w:num>
  <w:num w:numId="134">
    <w:abstractNumId w:val="214"/>
  </w:num>
  <w:num w:numId="135">
    <w:abstractNumId w:val="165"/>
  </w:num>
  <w:num w:numId="136">
    <w:abstractNumId w:val="278"/>
  </w:num>
  <w:num w:numId="137">
    <w:abstractNumId w:val="281"/>
  </w:num>
  <w:num w:numId="138">
    <w:abstractNumId w:val="192"/>
  </w:num>
  <w:num w:numId="139">
    <w:abstractNumId w:val="231"/>
  </w:num>
  <w:num w:numId="140">
    <w:abstractNumId w:val="24"/>
  </w:num>
  <w:num w:numId="141">
    <w:abstractNumId w:val="139"/>
  </w:num>
  <w:num w:numId="142">
    <w:abstractNumId w:val="142"/>
  </w:num>
  <w:num w:numId="143">
    <w:abstractNumId w:val="164"/>
  </w:num>
  <w:num w:numId="144">
    <w:abstractNumId w:val="55"/>
  </w:num>
  <w:num w:numId="145">
    <w:abstractNumId w:val="184"/>
  </w:num>
  <w:num w:numId="146">
    <w:abstractNumId w:val="188"/>
  </w:num>
  <w:num w:numId="147">
    <w:abstractNumId w:val="147"/>
  </w:num>
  <w:num w:numId="148">
    <w:abstractNumId w:val="260"/>
  </w:num>
  <w:num w:numId="149">
    <w:abstractNumId w:val="222"/>
  </w:num>
  <w:num w:numId="150">
    <w:abstractNumId w:val="285"/>
  </w:num>
  <w:num w:numId="151">
    <w:abstractNumId w:val="239"/>
  </w:num>
  <w:num w:numId="152">
    <w:abstractNumId w:val="185"/>
  </w:num>
  <w:num w:numId="153">
    <w:abstractNumId w:val="257"/>
  </w:num>
  <w:num w:numId="154">
    <w:abstractNumId w:val="289"/>
  </w:num>
  <w:num w:numId="155">
    <w:abstractNumId w:val="186"/>
  </w:num>
  <w:num w:numId="156">
    <w:abstractNumId w:val="9"/>
  </w:num>
  <w:num w:numId="157">
    <w:abstractNumId w:val="20"/>
  </w:num>
  <w:num w:numId="158">
    <w:abstractNumId w:val="232"/>
  </w:num>
  <w:num w:numId="159">
    <w:abstractNumId w:val="6"/>
  </w:num>
  <w:num w:numId="160">
    <w:abstractNumId w:val="131"/>
  </w:num>
  <w:num w:numId="161">
    <w:abstractNumId w:val="274"/>
  </w:num>
  <w:num w:numId="162">
    <w:abstractNumId w:val="150"/>
  </w:num>
  <w:num w:numId="163">
    <w:abstractNumId w:val="87"/>
  </w:num>
  <w:num w:numId="164">
    <w:abstractNumId w:val="102"/>
  </w:num>
  <w:num w:numId="165">
    <w:abstractNumId w:val="174"/>
  </w:num>
  <w:num w:numId="166">
    <w:abstractNumId w:val="33"/>
  </w:num>
  <w:num w:numId="167">
    <w:abstractNumId w:val="92"/>
  </w:num>
  <w:num w:numId="168">
    <w:abstractNumId w:val="112"/>
  </w:num>
  <w:num w:numId="169">
    <w:abstractNumId w:val="32"/>
  </w:num>
  <w:num w:numId="170">
    <w:abstractNumId w:val="60"/>
  </w:num>
  <w:num w:numId="171">
    <w:abstractNumId w:val="15"/>
  </w:num>
  <w:num w:numId="172">
    <w:abstractNumId w:val="2"/>
  </w:num>
  <w:num w:numId="173">
    <w:abstractNumId w:val="245"/>
  </w:num>
  <w:num w:numId="174">
    <w:abstractNumId w:val="83"/>
  </w:num>
  <w:num w:numId="175">
    <w:abstractNumId w:val="89"/>
  </w:num>
  <w:num w:numId="176">
    <w:abstractNumId w:val="205"/>
  </w:num>
  <w:num w:numId="177">
    <w:abstractNumId w:val="249"/>
  </w:num>
  <w:num w:numId="178">
    <w:abstractNumId w:val="284"/>
  </w:num>
  <w:num w:numId="179">
    <w:abstractNumId w:val="101"/>
  </w:num>
  <w:num w:numId="180">
    <w:abstractNumId w:val="26"/>
  </w:num>
  <w:num w:numId="181">
    <w:abstractNumId w:val="68"/>
  </w:num>
  <w:num w:numId="182">
    <w:abstractNumId w:val="34"/>
  </w:num>
  <w:num w:numId="183">
    <w:abstractNumId w:val="100"/>
  </w:num>
  <w:num w:numId="184">
    <w:abstractNumId w:val="123"/>
  </w:num>
  <w:num w:numId="185">
    <w:abstractNumId w:val="47"/>
  </w:num>
  <w:num w:numId="186">
    <w:abstractNumId w:val="90"/>
  </w:num>
  <w:num w:numId="187">
    <w:abstractNumId w:val="110"/>
  </w:num>
  <w:num w:numId="188">
    <w:abstractNumId w:val="64"/>
  </w:num>
  <w:num w:numId="189">
    <w:abstractNumId w:val="70"/>
  </w:num>
  <w:num w:numId="190">
    <w:abstractNumId w:val="67"/>
  </w:num>
  <w:num w:numId="191">
    <w:abstractNumId w:val="94"/>
  </w:num>
  <w:num w:numId="192">
    <w:abstractNumId w:val="132"/>
  </w:num>
  <w:num w:numId="193">
    <w:abstractNumId w:val="213"/>
  </w:num>
  <w:num w:numId="194">
    <w:abstractNumId w:val="62"/>
  </w:num>
  <w:num w:numId="195">
    <w:abstractNumId w:val="152"/>
  </w:num>
  <w:num w:numId="196">
    <w:abstractNumId w:val="196"/>
  </w:num>
  <w:num w:numId="197">
    <w:abstractNumId w:val="84"/>
  </w:num>
  <w:num w:numId="198">
    <w:abstractNumId w:val="283"/>
  </w:num>
  <w:num w:numId="199">
    <w:abstractNumId w:val="191"/>
  </w:num>
  <w:num w:numId="200">
    <w:abstractNumId w:val="224"/>
  </w:num>
  <w:num w:numId="201">
    <w:abstractNumId w:val="10"/>
  </w:num>
  <w:num w:numId="202">
    <w:abstractNumId w:val="115"/>
  </w:num>
  <w:num w:numId="203">
    <w:abstractNumId w:val="271"/>
  </w:num>
  <w:num w:numId="204">
    <w:abstractNumId w:val="194"/>
  </w:num>
  <w:num w:numId="205">
    <w:abstractNumId w:val="59"/>
  </w:num>
  <w:num w:numId="206">
    <w:abstractNumId w:val="273"/>
  </w:num>
  <w:num w:numId="207">
    <w:abstractNumId w:val="73"/>
  </w:num>
  <w:num w:numId="208">
    <w:abstractNumId w:val="134"/>
  </w:num>
  <w:num w:numId="209">
    <w:abstractNumId w:val="85"/>
  </w:num>
  <w:num w:numId="210">
    <w:abstractNumId w:val="219"/>
  </w:num>
  <w:num w:numId="211">
    <w:abstractNumId w:val="223"/>
  </w:num>
  <w:num w:numId="212">
    <w:abstractNumId w:val="212"/>
  </w:num>
  <w:num w:numId="213">
    <w:abstractNumId w:val="255"/>
  </w:num>
  <w:num w:numId="214">
    <w:abstractNumId w:val="265"/>
  </w:num>
  <w:num w:numId="215">
    <w:abstractNumId w:val="13"/>
  </w:num>
  <w:num w:numId="216">
    <w:abstractNumId w:val="216"/>
  </w:num>
  <w:num w:numId="217">
    <w:abstractNumId w:val="225"/>
  </w:num>
  <w:num w:numId="218">
    <w:abstractNumId w:val="179"/>
  </w:num>
  <w:num w:numId="219">
    <w:abstractNumId w:val="35"/>
  </w:num>
  <w:num w:numId="220">
    <w:abstractNumId w:val="45"/>
  </w:num>
  <w:num w:numId="221">
    <w:abstractNumId w:val="236"/>
  </w:num>
  <w:num w:numId="222">
    <w:abstractNumId w:val="69"/>
  </w:num>
  <w:num w:numId="223">
    <w:abstractNumId w:val="149"/>
  </w:num>
  <w:num w:numId="224">
    <w:abstractNumId w:val="109"/>
  </w:num>
  <w:num w:numId="225">
    <w:abstractNumId w:val="128"/>
  </w:num>
  <w:num w:numId="226">
    <w:abstractNumId w:val="227"/>
  </w:num>
  <w:num w:numId="227">
    <w:abstractNumId w:val="154"/>
  </w:num>
  <w:num w:numId="228">
    <w:abstractNumId w:val="253"/>
  </w:num>
  <w:num w:numId="229">
    <w:abstractNumId w:val="170"/>
  </w:num>
  <w:num w:numId="230">
    <w:abstractNumId w:val="52"/>
  </w:num>
  <w:num w:numId="231">
    <w:abstractNumId w:val="79"/>
  </w:num>
  <w:num w:numId="232">
    <w:abstractNumId w:val="226"/>
  </w:num>
  <w:num w:numId="233">
    <w:abstractNumId w:val="203"/>
  </w:num>
  <w:num w:numId="234">
    <w:abstractNumId w:val="204"/>
  </w:num>
  <w:num w:numId="235">
    <w:abstractNumId w:val="175"/>
  </w:num>
  <w:num w:numId="236">
    <w:abstractNumId w:val="124"/>
  </w:num>
  <w:num w:numId="237">
    <w:abstractNumId w:val="61"/>
  </w:num>
  <w:num w:numId="238">
    <w:abstractNumId w:val="180"/>
  </w:num>
  <w:num w:numId="239">
    <w:abstractNumId w:val="50"/>
  </w:num>
  <w:num w:numId="240">
    <w:abstractNumId w:val="4"/>
  </w:num>
  <w:num w:numId="241">
    <w:abstractNumId w:val="63"/>
  </w:num>
  <w:num w:numId="242">
    <w:abstractNumId w:val="136"/>
  </w:num>
  <w:num w:numId="243">
    <w:abstractNumId w:val="176"/>
  </w:num>
  <w:num w:numId="244">
    <w:abstractNumId w:val="211"/>
  </w:num>
  <w:num w:numId="245">
    <w:abstractNumId w:val="215"/>
  </w:num>
  <w:num w:numId="246">
    <w:abstractNumId w:val="169"/>
  </w:num>
  <w:num w:numId="247">
    <w:abstractNumId w:val="148"/>
  </w:num>
  <w:num w:numId="248">
    <w:abstractNumId w:val="268"/>
  </w:num>
  <w:num w:numId="249">
    <w:abstractNumId w:val="261"/>
  </w:num>
  <w:num w:numId="250">
    <w:abstractNumId w:val="240"/>
  </w:num>
  <w:num w:numId="251">
    <w:abstractNumId w:val="182"/>
  </w:num>
  <w:num w:numId="252">
    <w:abstractNumId w:val="38"/>
  </w:num>
  <w:num w:numId="253">
    <w:abstractNumId w:val="117"/>
  </w:num>
  <w:num w:numId="254">
    <w:abstractNumId w:val="120"/>
  </w:num>
  <w:num w:numId="255">
    <w:abstractNumId w:val="111"/>
  </w:num>
  <w:num w:numId="256">
    <w:abstractNumId w:val="28"/>
  </w:num>
  <w:num w:numId="257">
    <w:abstractNumId w:val="171"/>
  </w:num>
  <w:num w:numId="258">
    <w:abstractNumId w:val="144"/>
  </w:num>
  <w:num w:numId="259">
    <w:abstractNumId w:val="75"/>
  </w:num>
  <w:num w:numId="260">
    <w:abstractNumId w:val="276"/>
  </w:num>
  <w:num w:numId="261">
    <w:abstractNumId w:val="42"/>
  </w:num>
  <w:num w:numId="262">
    <w:abstractNumId w:val="209"/>
  </w:num>
  <w:num w:numId="263">
    <w:abstractNumId w:val="168"/>
  </w:num>
  <w:num w:numId="264">
    <w:abstractNumId w:val="138"/>
  </w:num>
  <w:num w:numId="265">
    <w:abstractNumId w:val="220"/>
  </w:num>
  <w:num w:numId="266">
    <w:abstractNumId w:val="288"/>
  </w:num>
  <w:num w:numId="267">
    <w:abstractNumId w:val="248"/>
  </w:num>
  <w:num w:numId="268">
    <w:abstractNumId w:val="218"/>
  </w:num>
  <w:num w:numId="269">
    <w:abstractNumId w:val="93"/>
  </w:num>
  <w:num w:numId="270">
    <w:abstractNumId w:val="81"/>
  </w:num>
  <w:num w:numId="271">
    <w:abstractNumId w:val="238"/>
  </w:num>
  <w:num w:numId="272">
    <w:abstractNumId w:val="202"/>
  </w:num>
  <w:num w:numId="273">
    <w:abstractNumId w:val="158"/>
  </w:num>
  <w:num w:numId="274">
    <w:abstractNumId w:val="16"/>
  </w:num>
  <w:num w:numId="275">
    <w:abstractNumId w:val="133"/>
  </w:num>
  <w:num w:numId="276">
    <w:abstractNumId w:val="221"/>
  </w:num>
  <w:num w:numId="277">
    <w:abstractNumId w:val="105"/>
  </w:num>
  <w:num w:numId="278">
    <w:abstractNumId w:val="18"/>
  </w:num>
  <w:num w:numId="279">
    <w:abstractNumId w:val="228"/>
  </w:num>
  <w:num w:numId="280">
    <w:abstractNumId w:val="183"/>
  </w:num>
  <w:num w:numId="281">
    <w:abstractNumId w:val="122"/>
  </w:num>
  <w:num w:numId="282">
    <w:abstractNumId w:val="127"/>
  </w:num>
  <w:num w:numId="283">
    <w:abstractNumId w:val="162"/>
  </w:num>
  <w:num w:numId="284">
    <w:abstractNumId w:val="135"/>
  </w:num>
  <w:num w:numId="285">
    <w:abstractNumId w:val="275"/>
  </w:num>
  <w:num w:numId="286">
    <w:abstractNumId w:val="177"/>
  </w:num>
  <w:num w:numId="287">
    <w:abstractNumId w:val="88"/>
  </w:num>
  <w:num w:numId="288">
    <w:abstractNumId w:val="14"/>
  </w:num>
  <w:num w:numId="289">
    <w:abstractNumId w:val="193"/>
  </w:num>
  <w:num w:numId="290">
    <w:abstractNumId w:val="279"/>
  </w:num>
  <w:numIdMacAtCleanup w:val="2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activeWritingStyle w:appName="MSWord" w:lang="en-US" w:vendorID="64" w:dllVersion="131078" w:nlCheck="1" w:checkStyle="1"/>
  <w:activeWritingStyle w:appName="MSWord" w:lang="fr-FR" w:vendorID="64" w:dllVersion="131078" w:nlCheck="1" w:checkStyle="1"/>
  <w:stylePaneFormatFilter w:val="3F01"/>
  <w:defaultTabStop w:val="720"/>
  <w:drawingGridHorizontalSpacing w:val="120"/>
  <w:displayHorizontalDrawingGridEvery w:val="2"/>
  <w:noPunctuationKerning/>
  <w:characterSpacingControl w:val="doNotCompress"/>
  <w:hdrShapeDefaults>
    <o:shapedefaults v:ext="edit" spidmax="33794">
      <o:colormru v:ext="edit" colors="#cff,#eaeaea"/>
      <o:colormenu v:ext="edit" fillcolor="none" strokecolor="none"/>
    </o:shapedefaults>
  </w:hdrShapeDefaults>
  <w:footnotePr>
    <w:footnote w:id="0"/>
    <w:footnote w:id="1"/>
  </w:footnotePr>
  <w:endnotePr>
    <w:endnote w:id="0"/>
    <w:endnote w:id="1"/>
  </w:endnotePr>
  <w:compat/>
  <w:rsids>
    <w:rsidRoot w:val="0037461C"/>
    <w:rsid w:val="00001703"/>
    <w:rsid w:val="00002D68"/>
    <w:rsid w:val="00007826"/>
    <w:rsid w:val="000123C3"/>
    <w:rsid w:val="00012D48"/>
    <w:rsid w:val="000147E3"/>
    <w:rsid w:val="00015584"/>
    <w:rsid w:val="00023186"/>
    <w:rsid w:val="000254CD"/>
    <w:rsid w:val="00026D65"/>
    <w:rsid w:val="00033BB3"/>
    <w:rsid w:val="000359DC"/>
    <w:rsid w:val="000412AE"/>
    <w:rsid w:val="00042B1B"/>
    <w:rsid w:val="00045EF7"/>
    <w:rsid w:val="00050B36"/>
    <w:rsid w:val="00051F43"/>
    <w:rsid w:val="00052859"/>
    <w:rsid w:val="00052AAB"/>
    <w:rsid w:val="00052AF8"/>
    <w:rsid w:val="00055084"/>
    <w:rsid w:val="00055808"/>
    <w:rsid w:val="00056ACD"/>
    <w:rsid w:val="00057014"/>
    <w:rsid w:val="00062EA5"/>
    <w:rsid w:val="00062F08"/>
    <w:rsid w:val="00064573"/>
    <w:rsid w:val="00072903"/>
    <w:rsid w:val="000809E6"/>
    <w:rsid w:val="000814F9"/>
    <w:rsid w:val="00084489"/>
    <w:rsid w:val="00087FB8"/>
    <w:rsid w:val="00094CF7"/>
    <w:rsid w:val="00094F3F"/>
    <w:rsid w:val="000956CD"/>
    <w:rsid w:val="00097D3C"/>
    <w:rsid w:val="000A0C96"/>
    <w:rsid w:val="000A0D10"/>
    <w:rsid w:val="000A3F1B"/>
    <w:rsid w:val="000A6441"/>
    <w:rsid w:val="000B4703"/>
    <w:rsid w:val="000B6AD5"/>
    <w:rsid w:val="000C20A4"/>
    <w:rsid w:val="000D1ED5"/>
    <w:rsid w:val="000D3537"/>
    <w:rsid w:val="000D75E9"/>
    <w:rsid w:val="000E3CAC"/>
    <w:rsid w:val="000E4A02"/>
    <w:rsid w:val="000F4044"/>
    <w:rsid w:val="00104817"/>
    <w:rsid w:val="00106B23"/>
    <w:rsid w:val="00113861"/>
    <w:rsid w:val="00120684"/>
    <w:rsid w:val="00121C3B"/>
    <w:rsid w:val="001253A1"/>
    <w:rsid w:val="0012776D"/>
    <w:rsid w:val="00130D99"/>
    <w:rsid w:val="00132416"/>
    <w:rsid w:val="0013312A"/>
    <w:rsid w:val="00134659"/>
    <w:rsid w:val="001357E7"/>
    <w:rsid w:val="00135F08"/>
    <w:rsid w:val="00136F14"/>
    <w:rsid w:val="00144613"/>
    <w:rsid w:val="00147C35"/>
    <w:rsid w:val="00150C24"/>
    <w:rsid w:val="00152ABF"/>
    <w:rsid w:val="00152F32"/>
    <w:rsid w:val="00163DCE"/>
    <w:rsid w:val="00165513"/>
    <w:rsid w:val="0016662F"/>
    <w:rsid w:val="00166957"/>
    <w:rsid w:val="00166DFE"/>
    <w:rsid w:val="001719EC"/>
    <w:rsid w:val="00173B9F"/>
    <w:rsid w:val="00174BF4"/>
    <w:rsid w:val="00177F44"/>
    <w:rsid w:val="00182DB5"/>
    <w:rsid w:val="001830D5"/>
    <w:rsid w:val="00186157"/>
    <w:rsid w:val="00186925"/>
    <w:rsid w:val="001905DD"/>
    <w:rsid w:val="00192398"/>
    <w:rsid w:val="00193391"/>
    <w:rsid w:val="00194040"/>
    <w:rsid w:val="0019485C"/>
    <w:rsid w:val="001A1FA3"/>
    <w:rsid w:val="001A2F87"/>
    <w:rsid w:val="001A4FAD"/>
    <w:rsid w:val="001A764F"/>
    <w:rsid w:val="001B0155"/>
    <w:rsid w:val="001B3E7A"/>
    <w:rsid w:val="001B4B92"/>
    <w:rsid w:val="001B4C95"/>
    <w:rsid w:val="001B6D68"/>
    <w:rsid w:val="001B7AEF"/>
    <w:rsid w:val="001C4E31"/>
    <w:rsid w:val="001C65EF"/>
    <w:rsid w:val="001C6FEC"/>
    <w:rsid w:val="001D1349"/>
    <w:rsid w:val="001D271A"/>
    <w:rsid w:val="001D2F5E"/>
    <w:rsid w:val="001D48CF"/>
    <w:rsid w:val="001D7AEC"/>
    <w:rsid w:val="001E0235"/>
    <w:rsid w:val="001E04FB"/>
    <w:rsid w:val="001E3D28"/>
    <w:rsid w:val="001E73FF"/>
    <w:rsid w:val="001F00C0"/>
    <w:rsid w:val="001F0981"/>
    <w:rsid w:val="001F16C8"/>
    <w:rsid w:val="001F558E"/>
    <w:rsid w:val="001F5596"/>
    <w:rsid w:val="001F6EB0"/>
    <w:rsid w:val="0020121E"/>
    <w:rsid w:val="00201820"/>
    <w:rsid w:val="002040AE"/>
    <w:rsid w:val="00204950"/>
    <w:rsid w:val="00210073"/>
    <w:rsid w:val="00213CC3"/>
    <w:rsid w:val="00213E07"/>
    <w:rsid w:val="002171DD"/>
    <w:rsid w:val="0022116D"/>
    <w:rsid w:val="00221B25"/>
    <w:rsid w:val="00221EAA"/>
    <w:rsid w:val="00223B56"/>
    <w:rsid w:val="0022729E"/>
    <w:rsid w:val="00230203"/>
    <w:rsid w:val="00237A98"/>
    <w:rsid w:val="00241707"/>
    <w:rsid w:val="00242692"/>
    <w:rsid w:val="00242953"/>
    <w:rsid w:val="00253E96"/>
    <w:rsid w:val="002547C4"/>
    <w:rsid w:val="00254E74"/>
    <w:rsid w:val="00255AB9"/>
    <w:rsid w:val="00260A68"/>
    <w:rsid w:val="00260E46"/>
    <w:rsid w:val="00267249"/>
    <w:rsid w:val="00271060"/>
    <w:rsid w:val="00274263"/>
    <w:rsid w:val="00275459"/>
    <w:rsid w:val="00281E02"/>
    <w:rsid w:val="0028216C"/>
    <w:rsid w:val="002825CD"/>
    <w:rsid w:val="002826C1"/>
    <w:rsid w:val="002831BB"/>
    <w:rsid w:val="00284C91"/>
    <w:rsid w:val="00290BDE"/>
    <w:rsid w:val="00291CBF"/>
    <w:rsid w:val="00294174"/>
    <w:rsid w:val="00295D40"/>
    <w:rsid w:val="00297919"/>
    <w:rsid w:val="002A6A4D"/>
    <w:rsid w:val="002A74F3"/>
    <w:rsid w:val="002B3EF3"/>
    <w:rsid w:val="002B665F"/>
    <w:rsid w:val="002C0648"/>
    <w:rsid w:val="002C3421"/>
    <w:rsid w:val="002C478E"/>
    <w:rsid w:val="002C7DB8"/>
    <w:rsid w:val="002D0C96"/>
    <w:rsid w:val="002D4A1E"/>
    <w:rsid w:val="002D6A21"/>
    <w:rsid w:val="002D6EF3"/>
    <w:rsid w:val="002E26E1"/>
    <w:rsid w:val="002E6AC8"/>
    <w:rsid w:val="002E746E"/>
    <w:rsid w:val="002F1D9A"/>
    <w:rsid w:val="002F45D3"/>
    <w:rsid w:val="003034BC"/>
    <w:rsid w:val="003057E3"/>
    <w:rsid w:val="00312604"/>
    <w:rsid w:val="0031569A"/>
    <w:rsid w:val="00320580"/>
    <w:rsid w:val="00320943"/>
    <w:rsid w:val="0032193F"/>
    <w:rsid w:val="003269B5"/>
    <w:rsid w:val="003310E5"/>
    <w:rsid w:val="0033341A"/>
    <w:rsid w:val="003349AC"/>
    <w:rsid w:val="00342A68"/>
    <w:rsid w:val="00346135"/>
    <w:rsid w:val="0034678E"/>
    <w:rsid w:val="00351610"/>
    <w:rsid w:val="003526E7"/>
    <w:rsid w:val="003551C7"/>
    <w:rsid w:val="003559FE"/>
    <w:rsid w:val="00355E1A"/>
    <w:rsid w:val="00365693"/>
    <w:rsid w:val="0037112A"/>
    <w:rsid w:val="00372F77"/>
    <w:rsid w:val="00374184"/>
    <w:rsid w:val="0037461C"/>
    <w:rsid w:val="0038282B"/>
    <w:rsid w:val="0039662E"/>
    <w:rsid w:val="00397713"/>
    <w:rsid w:val="003A426A"/>
    <w:rsid w:val="003A734C"/>
    <w:rsid w:val="003B4DEB"/>
    <w:rsid w:val="003C35D8"/>
    <w:rsid w:val="003C3BFC"/>
    <w:rsid w:val="003C43B4"/>
    <w:rsid w:val="003D1BF1"/>
    <w:rsid w:val="003D5AC4"/>
    <w:rsid w:val="003E174E"/>
    <w:rsid w:val="003E1823"/>
    <w:rsid w:val="003E34DD"/>
    <w:rsid w:val="003E73C1"/>
    <w:rsid w:val="003E7C1D"/>
    <w:rsid w:val="003F1D8B"/>
    <w:rsid w:val="003F25B0"/>
    <w:rsid w:val="003F27E1"/>
    <w:rsid w:val="003F5ADA"/>
    <w:rsid w:val="00400D67"/>
    <w:rsid w:val="00405765"/>
    <w:rsid w:val="00425A43"/>
    <w:rsid w:val="00426096"/>
    <w:rsid w:val="00427837"/>
    <w:rsid w:val="00434F38"/>
    <w:rsid w:val="00437C85"/>
    <w:rsid w:val="00441BAB"/>
    <w:rsid w:val="00444074"/>
    <w:rsid w:val="00447CB5"/>
    <w:rsid w:val="0045560C"/>
    <w:rsid w:val="004602E0"/>
    <w:rsid w:val="0046087D"/>
    <w:rsid w:val="0046571D"/>
    <w:rsid w:val="0047228F"/>
    <w:rsid w:val="00473348"/>
    <w:rsid w:val="00493CB0"/>
    <w:rsid w:val="004A2090"/>
    <w:rsid w:val="004A351B"/>
    <w:rsid w:val="004B1C56"/>
    <w:rsid w:val="004B43D1"/>
    <w:rsid w:val="004B7E2A"/>
    <w:rsid w:val="004C044F"/>
    <w:rsid w:val="004C19D2"/>
    <w:rsid w:val="004D2C2E"/>
    <w:rsid w:val="004D5917"/>
    <w:rsid w:val="004E1B24"/>
    <w:rsid w:val="004E4AE0"/>
    <w:rsid w:val="004F09DA"/>
    <w:rsid w:val="004F3A9E"/>
    <w:rsid w:val="004F500E"/>
    <w:rsid w:val="005004EF"/>
    <w:rsid w:val="005007F5"/>
    <w:rsid w:val="00502833"/>
    <w:rsid w:val="00503023"/>
    <w:rsid w:val="00506DF7"/>
    <w:rsid w:val="0050775F"/>
    <w:rsid w:val="00520061"/>
    <w:rsid w:val="00521A18"/>
    <w:rsid w:val="0052488A"/>
    <w:rsid w:val="005300D4"/>
    <w:rsid w:val="00535916"/>
    <w:rsid w:val="00535D72"/>
    <w:rsid w:val="00547EE7"/>
    <w:rsid w:val="00556EE5"/>
    <w:rsid w:val="005612E4"/>
    <w:rsid w:val="00561FEA"/>
    <w:rsid w:val="0056578F"/>
    <w:rsid w:val="005769D3"/>
    <w:rsid w:val="00576F5F"/>
    <w:rsid w:val="0057759D"/>
    <w:rsid w:val="0057784A"/>
    <w:rsid w:val="00577F23"/>
    <w:rsid w:val="00583C8D"/>
    <w:rsid w:val="005841F7"/>
    <w:rsid w:val="00586BC8"/>
    <w:rsid w:val="00591E29"/>
    <w:rsid w:val="0059238F"/>
    <w:rsid w:val="00594B89"/>
    <w:rsid w:val="00596064"/>
    <w:rsid w:val="005A1497"/>
    <w:rsid w:val="005A159D"/>
    <w:rsid w:val="005A33AE"/>
    <w:rsid w:val="005A3C21"/>
    <w:rsid w:val="005A58B4"/>
    <w:rsid w:val="005B0D11"/>
    <w:rsid w:val="005B69F4"/>
    <w:rsid w:val="005C1FB9"/>
    <w:rsid w:val="005C3158"/>
    <w:rsid w:val="005C4BC6"/>
    <w:rsid w:val="005D2E71"/>
    <w:rsid w:val="005E4B74"/>
    <w:rsid w:val="005E5697"/>
    <w:rsid w:val="005F3C52"/>
    <w:rsid w:val="005F78C6"/>
    <w:rsid w:val="006001CE"/>
    <w:rsid w:val="00600397"/>
    <w:rsid w:val="00600751"/>
    <w:rsid w:val="00604C56"/>
    <w:rsid w:val="006065C4"/>
    <w:rsid w:val="00607CB4"/>
    <w:rsid w:val="00610AD9"/>
    <w:rsid w:val="00611AFF"/>
    <w:rsid w:val="006139F7"/>
    <w:rsid w:val="00617092"/>
    <w:rsid w:val="00621550"/>
    <w:rsid w:val="00625065"/>
    <w:rsid w:val="00625E7C"/>
    <w:rsid w:val="006263EC"/>
    <w:rsid w:val="00630FA7"/>
    <w:rsid w:val="0063341E"/>
    <w:rsid w:val="00636954"/>
    <w:rsid w:val="00637E5E"/>
    <w:rsid w:val="00643EDB"/>
    <w:rsid w:val="00645EA4"/>
    <w:rsid w:val="00647AA6"/>
    <w:rsid w:val="00652F1A"/>
    <w:rsid w:val="00655186"/>
    <w:rsid w:val="00657710"/>
    <w:rsid w:val="006724D1"/>
    <w:rsid w:val="00676519"/>
    <w:rsid w:val="00683D84"/>
    <w:rsid w:val="0069052B"/>
    <w:rsid w:val="00693BFA"/>
    <w:rsid w:val="0069573A"/>
    <w:rsid w:val="00697931"/>
    <w:rsid w:val="006A34FB"/>
    <w:rsid w:val="006A6BF0"/>
    <w:rsid w:val="006B1759"/>
    <w:rsid w:val="006B21E8"/>
    <w:rsid w:val="006B731F"/>
    <w:rsid w:val="006C0CDF"/>
    <w:rsid w:val="006C4209"/>
    <w:rsid w:val="006D1501"/>
    <w:rsid w:val="006D4743"/>
    <w:rsid w:val="006D726C"/>
    <w:rsid w:val="006E534F"/>
    <w:rsid w:val="006F1CED"/>
    <w:rsid w:val="006F6D35"/>
    <w:rsid w:val="00701C96"/>
    <w:rsid w:val="00702850"/>
    <w:rsid w:val="007106DE"/>
    <w:rsid w:val="00714F56"/>
    <w:rsid w:val="00716EA3"/>
    <w:rsid w:val="00717EC1"/>
    <w:rsid w:val="00720699"/>
    <w:rsid w:val="00735769"/>
    <w:rsid w:val="0073583D"/>
    <w:rsid w:val="00735879"/>
    <w:rsid w:val="007371EA"/>
    <w:rsid w:val="0074275E"/>
    <w:rsid w:val="007440A2"/>
    <w:rsid w:val="00747A00"/>
    <w:rsid w:val="00747AD1"/>
    <w:rsid w:val="007501B1"/>
    <w:rsid w:val="007507A1"/>
    <w:rsid w:val="00753030"/>
    <w:rsid w:val="007538AF"/>
    <w:rsid w:val="00754625"/>
    <w:rsid w:val="00754E0A"/>
    <w:rsid w:val="00756626"/>
    <w:rsid w:val="00757B14"/>
    <w:rsid w:val="00760312"/>
    <w:rsid w:val="007615CF"/>
    <w:rsid w:val="00761D9B"/>
    <w:rsid w:val="00763A68"/>
    <w:rsid w:val="00774229"/>
    <w:rsid w:val="0077439B"/>
    <w:rsid w:val="00776BB9"/>
    <w:rsid w:val="00777FEF"/>
    <w:rsid w:val="0078425C"/>
    <w:rsid w:val="00787428"/>
    <w:rsid w:val="0078752F"/>
    <w:rsid w:val="0078758C"/>
    <w:rsid w:val="00791CEA"/>
    <w:rsid w:val="00795EBC"/>
    <w:rsid w:val="007A0544"/>
    <w:rsid w:val="007A0667"/>
    <w:rsid w:val="007A0CB3"/>
    <w:rsid w:val="007B274F"/>
    <w:rsid w:val="007B4801"/>
    <w:rsid w:val="007B6C6F"/>
    <w:rsid w:val="007B740E"/>
    <w:rsid w:val="007B79A5"/>
    <w:rsid w:val="007C0B31"/>
    <w:rsid w:val="007C161A"/>
    <w:rsid w:val="007C3114"/>
    <w:rsid w:val="007C60DE"/>
    <w:rsid w:val="007D0C2A"/>
    <w:rsid w:val="007D6C75"/>
    <w:rsid w:val="007D7CC2"/>
    <w:rsid w:val="007E3728"/>
    <w:rsid w:val="007E4CDB"/>
    <w:rsid w:val="007F2512"/>
    <w:rsid w:val="007F5CA8"/>
    <w:rsid w:val="007F6530"/>
    <w:rsid w:val="00802AAE"/>
    <w:rsid w:val="00803A9F"/>
    <w:rsid w:val="00806F3D"/>
    <w:rsid w:val="008107DC"/>
    <w:rsid w:val="00830F09"/>
    <w:rsid w:val="0083218E"/>
    <w:rsid w:val="00832D94"/>
    <w:rsid w:val="008357D0"/>
    <w:rsid w:val="00837238"/>
    <w:rsid w:val="00837650"/>
    <w:rsid w:val="0084059C"/>
    <w:rsid w:val="00841649"/>
    <w:rsid w:val="008424B8"/>
    <w:rsid w:val="00843CDB"/>
    <w:rsid w:val="008454DF"/>
    <w:rsid w:val="008458B6"/>
    <w:rsid w:val="00855E18"/>
    <w:rsid w:val="00855FE2"/>
    <w:rsid w:val="008560E6"/>
    <w:rsid w:val="00856F5D"/>
    <w:rsid w:val="00864108"/>
    <w:rsid w:val="0086426E"/>
    <w:rsid w:val="00871678"/>
    <w:rsid w:val="00874756"/>
    <w:rsid w:val="0088396F"/>
    <w:rsid w:val="008849C1"/>
    <w:rsid w:val="008853F1"/>
    <w:rsid w:val="00892A37"/>
    <w:rsid w:val="00894F82"/>
    <w:rsid w:val="0089518E"/>
    <w:rsid w:val="008A2BBB"/>
    <w:rsid w:val="008A471D"/>
    <w:rsid w:val="008A4795"/>
    <w:rsid w:val="008A4C6C"/>
    <w:rsid w:val="008B348F"/>
    <w:rsid w:val="008B3E14"/>
    <w:rsid w:val="008B4D15"/>
    <w:rsid w:val="008C171A"/>
    <w:rsid w:val="008C33D1"/>
    <w:rsid w:val="008C520C"/>
    <w:rsid w:val="008C61A2"/>
    <w:rsid w:val="008C7637"/>
    <w:rsid w:val="008D02B6"/>
    <w:rsid w:val="008D2058"/>
    <w:rsid w:val="008D7CD4"/>
    <w:rsid w:val="008E2950"/>
    <w:rsid w:val="008E3A64"/>
    <w:rsid w:val="008F0914"/>
    <w:rsid w:val="008F2AC3"/>
    <w:rsid w:val="008F4195"/>
    <w:rsid w:val="008F4599"/>
    <w:rsid w:val="00906DF2"/>
    <w:rsid w:val="00914F74"/>
    <w:rsid w:val="0091504C"/>
    <w:rsid w:val="0091517F"/>
    <w:rsid w:val="00920226"/>
    <w:rsid w:val="0092082D"/>
    <w:rsid w:val="00930230"/>
    <w:rsid w:val="00932538"/>
    <w:rsid w:val="00935E41"/>
    <w:rsid w:val="00940CE4"/>
    <w:rsid w:val="00941127"/>
    <w:rsid w:val="00943BA8"/>
    <w:rsid w:val="00944793"/>
    <w:rsid w:val="00945DA3"/>
    <w:rsid w:val="009630CA"/>
    <w:rsid w:val="00965003"/>
    <w:rsid w:val="00965FD0"/>
    <w:rsid w:val="0096721A"/>
    <w:rsid w:val="00970FEE"/>
    <w:rsid w:val="00971968"/>
    <w:rsid w:val="0097262A"/>
    <w:rsid w:val="009777E9"/>
    <w:rsid w:val="009778FE"/>
    <w:rsid w:val="00984D92"/>
    <w:rsid w:val="009868EE"/>
    <w:rsid w:val="00987ECF"/>
    <w:rsid w:val="0099694F"/>
    <w:rsid w:val="009A1C4B"/>
    <w:rsid w:val="009A2D84"/>
    <w:rsid w:val="009A406E"/>
    <w:rsid w:val="009B4A81"/>
    <w:rsid w:val="009C0DAE"/>
    <w:rsid w:val="009C215A"/>
    <w:rsid w:val="009C4E6E"/>
    <w:rsid w:val="009C6073"/>
    <w:rsid w:val="009C6F03"/>
    <w:rsid w:val="009C7ECE"/>
    <w:rsid w:val="009E15BC"/>
    <w:rsid w:val="009E1C55"/>
    <w:rsid w:val="009E40D5"/>
    <w:rsid w:val="009E4AA8"/>
    <w:rsid w:val="009F25A3"/>
    <w:rsid w:val="00A014A0"/>
    <w:rsid w:val="00A037BE"/>
    <w:rsid w:val="00A16B21"/>
    <w:rsid w:val="00A16D35"/>
    <w:rsid w:val="00A17102"/>
    <w:rsid w:val="00A17762"/>
    <w:rsid w:val="00A20542"/>
    <w:rsid w:val="00A20604"/>
    <w:rsid w:val="00A2229F"/>
    <w:rsid w:val="00A2354F"/>
    <w:rsid w:val="00A23820"/>
    <w:rsid w:val="00A23874"/>
    <w:rsid w:val="00A24576"/>
    <w:rsid w:val="00A25F79"/>
    <w:rsid w:val="00A2606D"/>
    <w:rsid w:val="00A30F30"/>
    <w:rsid w:val="00A36848"/>
    <w:rsid w:val="00A378C8"/>
    <w:rsid w:val="00A40A59"/>
    <w:rsid w:val="00A430D6"/>
    <w:rsid w:val="00A437FF"/>
    <w:rsid w:val="00A44BD4"/>
    <w:rsid w:val="00A5069C"/>
    <w:rsid w:val="00A51C2C"/>
    <w:rsid w:val="00A62059"/>
    <w:rsid w:val="00A66E9F"/>
    <w:rsid w:val="00A70BE8"/>
    <w:rsid w:val="00A7142E"/>
    <w:rsid w:val="00A74694"/>
    <w:rsid w:val="00A76F57"/>
    <w:rsid w:val="00A7747D"/>
    <w:rsid w:val="00A8120E"/>
    <w:rsid w:val="00A8698E"/>
    <w:rsid w:val="00A90285"/>
    <w:rsid w:val="00A9040B"/>
    <w:rsid w:val="00A904EB"/>
    <w:rsid w:val="00A92227"/>
    <w:rsid w:val="00A928EE"/>
    <w:rsid w:val="00A95C57"/>
    <w:rsid w:val="00A95DDE"/>
    <w:rsid w:val="00AA1E5E"/>
    <w:rsid w:val="00AB2A86"/>
    <w:rsid w:val="00AB4C27"/>
    <w:rsid w:val="00AB5A31"/>
    <w:rsid w:val="00AD13FE"/>
    <w:rsid w:val="00AD22EB"/>
    <w:rsid w:val="00AD3C8E"/>
    <w:rsid w:val="00AD739C"/>
    <w:rsid w:val="00AE1DC2"/>
    <w:rsid w:val="00AE26A2"/>
    <w:rsid w:val="00AE277C"/>
    <w:rsid w:val="00AE2F3D"/>
    <w:rsid w:val="00AF2B30"/>
    <w:rsid w:val="00AF4A1F"/>
    <w:rsid w:val="00AF50D6"/>
    <w:rsid w:val="00AF5651"/>
    <w:rsid w:val="00B00CDA"/>
    <w:rsid w:val="00B0177C"/>
    <w:rsid w:val="00B03937"/>
    <w:rsid w:val="00B12484"/>
    <w:rsid w:val="00B221D9"/>
    <w:rsid w:val="00B26EE3"/>
    <w:rsid w:val="00B27222"/>
    <w:rsid w:val="00B27409"/>
    <w:rsid w:val="00B30E62"/>
    <w:rsid w:val="00B31FB4"/>
    <w:rsid w:val="00B32543"/>
    <w:rsid w:val="00B40CAD"/>
    <w:rsid w:val="00B450A5"/>
    <w:rsid w:val="00B53C13"/>
    <w:rsid w:val="00B54467"/>
    <w:rsid w:val="00B55E2D"/>
    <w:rsid w:val="00B6255B"/>
    <w:rsid w:val="00B665B2"/>
    <w:rsid w:val="00B6666C"/>
    <w:rsid w:val="00B70AAE"/>
    <w:rsid w:val="00B75396"/>
    <w:rsid w:val="00B76BC0"/>
    <w:rsid w:val="00B84E94"/>
    <w:rsid w:val="00B85C25"/>
    <w:rsid w:val="00B86621"/>
    <w:rsid w:val="00B86ED4"/>
    <w:rsid w:val="00B87E19"/>
    <w:rsid w:val="00B905A6"/>
    <w:rsid w:val="00B92462"/>
    <w:rsid w:val="00B969EB"/>
    <w:rsid w:val="00BA0D80"/>
    <w:rsid w:val="00BA2806"/>
    <w:rsid w:val="00BA4CC2"/>
    <w:rsid w:val="00BA5EBD"/>
    <w:rsid w:val="00BB52D7"/>
    <w:rsid w:val="00BB7EC7"/>
    <w:rsid w:val="00BC0881"/>
    <w:rsid w:val="00BC4AFD"/>
    <w:rsid w:val="00BC4ED9"/>
    <w:rsid w:val="00BD7F01"/>
    <w:rsid w:val="00BE0367"/>
    <w:rsid w:val="00BE202A"/>
    <w:rsid w:val="00BE4EB2"/>
    <w:rsid w:val="00BE75C1"/>
    <w:rsid w:val="00BF08B3"/>
    <w:rsid w:val="00BF2AC6"/>
    <w:rsid w:val="00BF4F45"/>
    <w:rsid w:val="00C02649"/>
    <w:rsid w:val="00C02B4E"/>
    <w:rsid w:val="00C04319"/>
    <w:rsid w:val="00C069DF"/>
    <w:rsid w:val="00C1507F"/>
    <w:rsid w:val="00C15E23"/>
    <w:rsid w:val="00C177D5"/>
    <w:rsid w:val="00C17CAF"/>
    <w:rsid w:val="00C23CAA"/>
    <w:rsid w:val="00C30228"/>
    <w:rsid w:val="00C30BE0"/>
    <w:rsid w:val="00C33E76"/>
    <w:rsid w:val="00C3403D"/>
    <w:rsid w:val="00C40CB6"/>
    <w:rsid w:val="00C45666"/>
    <w:rsid w:val="00C46EEB"/>
    <w:rsid w:val="00C5005A"/>
    <w:rsid w:val="00C50B41"/>
    <w:rsid w:val="00C51977"/>
    <w:rsid w:val="00C532E1"/>
    <w:rsid w:val="00C541FB"/>
    <w:rsid w:val="00C557DD"/>
    <w:rsid w:val="00C569EC"/>
    <w:rsid w:val="00C60F74"/>
    <w:rsid w:val="00C637F2"/>
    <w:rsid w:val="00C63CD7"/>
    <w:rsid w:val="00C73135"/>
    <w:rsid w:val="00C73929"/>
    <w:rsid w:val="00C75DEB"/>
    <w:rsid w:val="00C76853"/>
    <w:rsid w:val="00C82566"/>
    <w:rsid w:val="00C84A2E"/>
    <w:rsid w:val="00C867B5"/>
    <w:rsid w:val="00C905C1"/>
    <w:rsid w:val="00C94383"/>
    <w:rsid w:val="00C97F90"/>
    <w:rsid w:val="00CA25D8"/>
    <w:rsid w:val="00CA50BC"/>
    <w:rsid w:val="00CA54B2"/>
    <w:rsid w:val="00CA7652"/>
    <w:rsid w:val="00CB2922"/>
    <w:rsid w:val="00CB4622"/>
    <w:rsid w:val="00CB7B56"/>
    <w:rsid w:val="00CB7CD1"/>
    <w:rsid w:val="00CC1A4D"/>
    <w:rsid w:val="00CC1C04"/>
    <w:rsid w:val="00CC1EA5"/>
    <w:rsid w:val="00CD0CFC"/>
    <w:rsid w:val="00CD2032"/>
    <w:rsid w:val="00CD2CB0"/>
    <w:rsid w:val="00CD3270"/>
    <w:rsid w:val="00CD4F3A"/>
    <w:rsid w:val="00CD7902"/>
    <w:rsid w:val="00CD7F75"/>
    <w:rsid w:val="00CF103E"/>
    <w:rsid w:val="00CF11AB"/>
    <w:rsid w:val="00CF3393"/>
    <w:rsid w:val="00CF5C18"/>
    <w:rsid w:val="00D02F2B"/>
    <w:rsid w:val="00D1084F"/>
    <w:rsid w:val="00D15AF4"/>
    <w:rsid w:val="00D15D42"/>
    <w:rsid w:val="00D2127E"/>
    <w:rsid w:val="00D2253B"/>
    <w:rsid w:val="00D31238"/>
    <w:rsid w:val="00D32B71"/>
    <w:rsid w:val="00D357C9"/>
    <w:rsid w:val="00D35BDE"/>
    <w:rsid w:val="00D370F6"/>
    <w:rsid w:val="00D402D1"/>
    <w:rsid w:val="00D43434"/>
    <w:rsid w:val="00D43E37"/>
    <w:rsid w:val="00D445AA"/>
    <w:rsid w:val="00D51C0F"/>
    <w:rsid w:val="00D53AE7"/>
    <w:rsid w:val="00D5582D"/>
    <w:rsid w:val="00D558A8"/>
    <w:rsid w:val="00D56C1A"/>
    <w:rsid w:val="00D616D3"/>
    <w:rsid w:val="00D63366"/>
    <w:rsid w:val="00D71419"/>
    <w:rsid w:val="00D77DB1"/>
    <w:rsid w:val="00D81095"/>
    <w:rsid w:val="00D8220C"/>
    <w:rsid w:val="00D838BA"/>
    <w:rsid w:val="00D84512"/>
    <w:rsid w:val="00D84802"/>
    <w:rsid w:val="00D85AB0"/>
    <w:rsid w:val="00D86DC9"/>
    <w:rsid w:val="00D901F2"/>
    <w:rsid w:val="00D90A40"/>
    <w:rsid w:val="00D97E28"/>
    <w:rsid w:val="00DA2079"/>
    <w:rsid w:val="00DA22E5"/>
    <w:rsid w:val="00DA2A42"/>
    <w:rsid w:val="00DC16CE"/>
    <w:rsid w:val="00DC22BF"/>
    <w:rsid w:val="00DC2A23"/>
    <w:rsid w:val="00DD0584"/>
    <w:rsid w:val="00DD0596"/>
    <w:rsid w:val="00DD18FF"/>
    <w:rsid w:val="00DD305D"/>
    <w:rsid w:val="00DD64A0"/>
    <w:rsid w:val="00DE29E5"/>
    <w:rsid w:val="00DE56DE"/>
    <w:rsid w:val="00DF3613"/>
    <w:rsid w:val="00DF404D"/>
    <w:rsid w:val="00E0270F"/>
    <w:rsid w:val="00E0660E"/>
    <w:rsid w:val="00E239F3"/>
    <w:rsid w:val="00E35138"/>
    <w:rsid w:val="00E351D0"/>
    <w:rsid w:val="00E35E13"/>
    <w:rsid w:val="00E41FD4"/>
    <w:rsid w:val="00E55198"/>
    <w:rsid w:val="00E60DEB"/>
    <w:rsid w:val="00E63DC1"/>
    <w:rsid w:val="00E72AFB"/>
    <w:rsid w:val="00E81721"/>
    <w:rsid w:val="00E82266"/>
    <w:rsid w:val="00E859E6"/>
    <w:rsid w:val="00E85A3C"/>
    <w:rsid w:val="00E93034"/>
    <w:rsid w:val="00E97362"/>
    <w:rsid w:val="00EB0E7B"/>
    <w:rsid w:val="00EB0F19"/>
    <w:rsid w:val="00EB149F"/>
    <w:rsid w:val="00EB3A95"/>
    <w:rsid w:val="00EC3857"/>
    <w:rsid w:val="00EC3DBE"/>
    <w:rsid w:val="00EC4742"/>
    <w:rsid w:val="00EC6479"/>
    <w:rsid w:val="00EC7867"/>
    <w:rsid w:val="00ED30DB"/>
    <w:rsid w:val="00ED6D99"/>
    <w:rsid w:val="00EE1004"/>
    <w:rsid w:val="00EE246D"/>
    <w:rsid w:val="00EE2889"/>
    <w:rsid w:val="00EE6666"/>
    <w:rsid w:val="00EF0D47"/>
    <w:rsid w:val="00EF3680"/>
    <w:rsid w:val="00EF3813"/>
    <w:rsid w:val="00EF4BAD"/>
    <w:rsid w:val="00F00621"/>
    <w:rsid w:val="00F0188D"/>
    <w:rsid w:val="00F04AD1"/>
    <w:rsid w:val="00F13AB2"/>
    <w:rsid w:val="00F13E8E"/>
    <w:rsid w:val="00F14B50"/>
    <w:rsid w:val="00F17A44"/>
    <w:rsid w:val="00F223AC"/>
    <w:rsid w:val="00F30318"/>
    <w:rsid w:val="00F35A0C"/>
    <w:rsid w:val="00F4174C"/>
    <w:rsid w:val="00F43CBB"/>
    <w:rsid w:val="00F4409D"/>
    <w:rsid w:val="00F44328"/>
    <w:rsid w:val="00F50D7A"/>
    <w:rsid w:val="00F52132"/>
    <w:rsid w:val="00F528CE"/>
    <w:rsid w:val="00F6371E"/>
    <w:rsid w:val="00F64C1C"/>
    <w:rsid w:val="00F64E64"/>
    <w:rsid w:val="00F65285"/>
    <w:rsid w:val="00F71482"/>
    <w:rsid w:val="00F75E62"/>
    <w:rsid w:val="00F75E64"/>
    <w:rsid w:val="00F76EAC"/>
    <w:rsid w:val="00F817A1"/>
    <w:rsid w:val="00F862EB"/>
    <w:rsid w:val="00F91F26"/>
    <w:rsid w:val="00F934EC"/>
    <w:rsid w:val="00F9545B"/>
    <w:rsid w:val="00FA43C6"/>
    <w:rsid w:val="00FA56FF"/>
    <w:rsid w:val="00FB4252"/>
    <w:rsid w:val="00FD33D6"/>
    <w:rsid w:val="00FD5B43"/>
    <w:rsid w:val="00FD69CD"/>
    <w:rsid w:val="00FE3D42"/>
    <w:rsid w:val="00FE49AC"/>
    <w:rsid w:val="00FF16EE"/>
    <w:rsid w:val="00FF2737"/>
    <w:rsid w:val="00FF2D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colormru v:ext="edit" colors="#cff,#eaeaea"/>
      <o:colormenu v:ext="edit" fillcolor="none" strokecolor="none"/>
    </o:shapedefaults>
    <o:shapelayout v:ext="edit">
      <o:idmap v:ext="edit" data="1"/>
      <o:regrouptable v:ext="edit">
        <o:entry new="1" old="0"/>
        <o:entry new="2" old="0"/>
        <o:entry new="4" old="0"/>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B74"/>
    <w:rPr>
      <w:sz w:val="24"/>
      <w:szCs w:val="24"/>
    </w:rPr>
  </w:style>
  <w:style w:type="paragraph" w:styleId="Heading1">
    <w:name w:val="heading 1"/>
    <w:basedOn w:val="Normal"/>
    <w:next w:val="Normal"/>
    <w:link w:val="Heading1Char"/>
    <w:qFormat/>
    <w:rsid w:val="00BA2806"/>
    <w:pPr>
      <w:keepNext/>
      <w:numPr>
        <w:numId w:val="1"/>
      </w:numPr>
      <w:spacing w:before="240" w:after="60"/>
      <w:outlineLvl w:val="0"/>
    </w:pPr>
    <w:rPr>
      <w:rFonts w:cs="Arial"/>
      <w:b/>
      <w:bCs/>
      <w:kern w:val="32"/>
      <w:szCs w:val="32"/>
    </w:rPr>
  </w:style>
  <w:style w:type="paragraph" w:styleId="Heading2">
    <w:name w:val="heading 2"/>
    <w:basedOn w:val="Normal"/>
    <w:next w:val="Normal"/>
    <w:qFormat/>
    <w:rsid w:val="007B4801"/>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7B4801"/>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7B4801"/>
    <w:pPr>
      <w:keepNext/>
      <w:numPr>
        <w:ilvl w:val="3"/>
        <w:numId w:val="1"/>
      </w:numPr>
      <w:spacing w:before="240" w:after="60"/>
      <w:outlineLvl w:val="3"/>
    </w:pPr>
    <w:rPr>
      <w:b/>
      <w:bCs/>
      <w:sz w:val="28"/>
      <w:szCs w:val="28"/>
    </w:rPr>
  </w:style>
  <w:style w:type="paragraph" w:styleId="Heading5">
    <w:name w:val="heading 5"/>
    <w:basedOn w:val="Normal"/>
    <w:next w:val="Normal"/>
    <w:qFormat/>
    <w:rsid w:val="007B4801"/>
    <w:pPr>
      <w:numPr>
        <w:ilvl w:val="4"/>
        <w:numId w:val="1"/>
      </w:numPr>
      <w:spacing w:before="240" w:after="60"/>
      <w:outlineLvl w:val="4"/>
    </w:pPr>
    <w:rPr>
      <w:b/>
      <w:bCs/>
      <w:i/>
      <w:iCs/>
      <w:sz w:val="26"/>
      <w:szCs w:val="26"/>
    </w:rPr>
  </w:style>
  <w:style w:type="paragraph" w:styleId="Heading6">
    <w:name w:val="heading 6"/>
    <w:basedOn w:val="Normal"/>
    <w:next w:val="Normal"/>
    <w:qFormat/>
    <w:rsid w:val="007B4801"/>
    <w:pPr>
      <w:numPr>
        <w:ilvl w:val="5"/>
        <w:numId w:val="1"/>
      </w:numPr>
      <w:spacing w:before="240" w:after="60"/>
      <w:outlineLvl w:val="5"/>
    </w:pPr>
    <w:rPr>
      <w:b/>
      <w:bCs/>
      <w:sz w:val="22"/>
      <w:szCs w:val="22"/>
    </w:rPr>
  </w:style>
  <w:style w:type="paragraph" w:styleId="Heading7">
    <w:name w:val="heading 7"/>
    <w:basedOn w:val="Normal"/>
    <w:next w:val="Normal"/>
    <w:qFormat/>
    <w:rsid w:val="007B4801"/>
    <w:pPr>
      <w:numPr>
        <w:ilvl w:val="6"/>
        <w:numId w:val="1"/>
      </w:numPr>
      <w:spacing w:before="240" w:after="60"/>
      <w:outlineLvl w:val="6"/>
    </w:pPr>
  </w:style>
  <w:style w:type="paragraph" w:styleId="Heading8">
    <w:name w:val="heading 8"/>
    <w:basedOn w:val="Normal"/>
    <w:next w:val="Normal"/>
    <w:qFormat/>
    <w:rsid w:val="007B4801"/>
    <w:pPr>
      <w:numPr>
        <w:ilvl w:val="7"/>
        <w:numId w:val="1"/>
      </w:numPr>
      <w:spacing w:before="240" w:after="60"/>
      <w:outlineLvl w:val="7"/>
    </w:pPr>
    <w:rPr>
      <w:i/>
      <w:iCs/>
    </w:rPr>
  </w:style>
  <w:style w:type="paragraph" w:styleId="Heading9">
    <w:name w:val="heading 9"/>
    <w:basedOn w:val="Normal"/>
    <w:next w:val="Normal"/>
    <w:qFormat/>
    <w:rsid w:val="007B4801"/>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61FEA"/>
    <w:pPr>
      <w:spacing w:before="100" w:beforeAutospacing="1" w:after="100" w:afterAutospacing="1" w:line="360" w:lineRule="auto"/>
      <w:ind w:left="360" w:right="72"/>
      <w:jc w:val="center"/>
    </w:pPr>
    <w:rPr>
      <w:rFonts w:ascii="Monotype Corsiva" w:hAnsi="Monotype Corsiva"/>
      <w:sz w:val="52"/>
      <w:szCs w:val="32"/>
    </w:rPr>
  </w:style>
  <w:style w:type="paragraph" w:styleId="NormalWeb">
    <w:name w:val="Normal (Web)"/>
    <w:basedOn w:val="Normal"/>
    <w:rsid w:val="00561FEA"/>
    <w:pPr>
      <w:spacing w:before="100" w:beforeAutospacing="1" w:after="100" w:afterAutospacing="1"/>
    </w:pPr>
  </w:style>
  <w:style w:type="character" w:styleId="Strong">
    <w:name w:val="Strong"/>
    <w:basedOn w:val="DefaultParagraphFont"/>
    <w:qFormat/>
    <w:rsid w:val="00561FEA"/>
    <w:rPr>
      <w:b/>
      <w:bCs/>
    </w:rPr>
  </w:style>
  <w:style w:type="character" w:styleId="Emphasis">
    <w:name w:val="Emphasis"/>
    <w:basedOn w:val="DefaultParagraphFont"/>
    <w:qFormat/>
    <w:rsid w:val="00561FEA"/>
    <w:rPr>
      <w:i/>
      <w:iCs/>
    </w:rPr>
  </w:style>
  <w:style w:type="character" w:styleId="Hyperlink">
    <w:name w:val="Hyperlink"/>
    <w:basedOn w:val="DefaultParagraphFont"/>
    <w:rsid w:val="00561FEA"/>
    <w:rPr>
      <w:color w:val="0000FF"/>
      <w:u w:val="single"/>
    </w:rPr>
  </w:style>
  <w:style w:type="character" w:customStyle="1" w:styleId="mixed-citation">
    <w:name w:val="mixed-citation"/>
    <w:basedOn w:val="DefaultParagraphFont"/>
    <w:rsid w:val="00561FEA"/>
  </w:style>
  <w:style w:type="table" w:styleId="TableGrid">
    <w:name w:val="Table Grid"/>
    <w:basedOn w:val="TableNormal"/>
    <w:rsid w:val="00561F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Normal"/>
    <w:rsid w:val="00561FEA"/>
    <w:pPr>
      <w:spacing w:before="100" w:beforeAutospacing="1" w:after="100" w:afterAutospacing="1"/>
    </w:pPr>
  </w:style>
  <w:style w:type="character" w:customStyle="1" w:styleId="style71">
    <w:name w:val="style71"/>
    <w:basedOn w:val="DefaultParagraphFont"/>
    <w:rsid w:val="00561FEA"/>
  </w:style>
  <w:style w:type="character" w:customStyle="1" w:styleId="article-articlebody">
    <w:name w:val="article-articlebody"/>
    <w:basedOn w:val="DefaultParagraphFont"/>
    <w:rsid w:val="00561FEA"/>
  </w:style>
  <w:style w:type="character" w:customStyle="1" w:styleId="ref-journal">
    <w:name w:val="ref-journal"/>
    <w:basedOn w:val="DefaultParagraphFont"/>
    <w:rsid w:val="00561FEA"/>
  </w:style>
  <w:style w:type="character" w:customStyle="1" w:styleId="ref-vol">
    <w:name w:val="ref-vol"/>
    <w:basedOn w:val="DefaultParagraphFont"/>
    <w:rsid w:val="00561FEA"/>
  </w:style>
  <w:style w:type="character" w:customStyle="1" w:styleId="cit-authcit-auth-type-author">
    <w:name w:val="cit-auth cit-auth-type-author"/>
    <w:basedOn w:val="DefaultParagraphFont"/>
    <w:rsid w:val="00561FEA"/>
  </w:style>
  <w:style w:type="character" w:customStyle="1" w:styleId="cit-title">
    <w:name w:val="cit-title"/>
    <w:basedOn w:val="DefaultParagraphFont"/>
    <w:rsid w:val="00561FEA"/>
  </w:style>
  <w:style w:type="character" w:styleId="HTMLCite">
    <w:name w:val="HTML Cite"/>
    <w:basedOn w:val="DefaultParagraphFont"/>
    <w:rsid w:val="00561FEA"/>
    <w:rPr>
      <w:i/>
      <w:iCs/>
    </w:rPr>
  </w:style>
  <w:style w:type="character" w:customStyle="1" w:styleId="cit-vol">
    <w:name w:val="cit-vol"/>
    <w:basedOn w:val="DefaultParagraphFont"/>
    <w:rsid w:val="00561FEA"/>
  </w:style>
  <w:style w:type="character" w:customStyle="1" w:styleId="cit-sepcit-sep-after-article-vol">
    <w:name w:val="cit-sep cit-sep-after-article-vol"/>
    <w:basedOn w:val="DefaultParagraphFont"/>
    <w:rsid w:val="00561FEA"/>
  </w:style>
  <w:style w:type="character" w:customStyle="1" w:styleId="cit-first-page">
    <w:name w:val="cit-first-page"/>
    <w:basedOn w:val="DefaultParagraphFont"/>
    <w:rsid w:val="00561FEA"/>
  </w:style>
  <w:style w:type="character" w:customStyle="1" w:styleId="cit-sep">
    <w:name w:val="cit-sep"/>
    <w:basedOn w:val="DefaultParagraphFont"/>
    <w:rsid w:val="00561FEA"/>
  </w:style>
  <w:style w:type="character" w:customStyle="1" w:styleId="cit-last-page">
    <w:name w:val="cit-last-page"/>
    <w:basedOn w:val="DefaultParagraphFont"/>
    <w:rsid w:val="00561FEA"/>
  </w:style>
  <w:style w:type="paragraph" w:styleId="DocumentMap">
    <w:name w:val="Document Map"/>
    <w:basedOn w:val="Normal"/>
    <w:semiHidden/>
    <w:rsid w:val="003E34DD"/>
    <w:pPr>
      <w:shd w:val="clear" w:color="auto" w:fill="000080"/>
    </w:pPr>
    <w:rPr>
      <w:rFonts w:ascii="Tahoma" w:hAnsi="Tahoma" w:cs="Tahoma"/>
    </w:rPr>
  </w:style>
  <w:style w:type="paragraph" w:styleId="TOC1">
    <w:name w:val="toc 1"/>
    <w:basedOn w:val="Normal"/>
    <w:next w:val="Normal"/>
    <w:autoRedefine/>
    <w:semiHidden/>
    <w:rsid w:val="007D7CC2"/>
    <w:pPr>
      <w:tabs>
        <w:tab w:val="right" w:leader="dot" w:pos="8659"/>
      </w:tabs>
    </w:pPr>
    <w:rPr>
      <w:noProof/>
    </w:rPr>
  </w:style>
  <w:style w:type="paragraph" w:styleId="BodyTextIndent3">
    <w:name w:val="Body Text Indent 3"/>
    <w:basedOn w:val="Normal"/>
    <w:link w:val="BodyTextIndent3Char"/>
    <w:rsid w:val="00C94383"/>
    <w:pPr>
      <w:spacing w:after="120"/>
      <w:ind w:left="360"/>
    </w:pPr>
    <w:rPr>
      <w:sz w:val="16"/>
      <w:szCs w:val="16"/>
    </w:rPr>
  </w:style>
  <w:style w:type="character" w:customStyle="1" w:styleId="BodyTextIndent3Char">
    <w:name w:val="Body Text Indent 3 Char"/>
    <w:basedOn w:val="DefaultParagraphFont"/>
    <w:link w:val="BodyTextIndent3"/>
    <w:rsid w:val="00C94383"/>
    <w:rPr>
      <w:sz w:val="16"/>
      <w:szCs w:val="16"/>
      <w:lang w:val="en-US" w:eastAsia="en-US" w:bidi="ar-SA"/>
    </w:rPr>
  </w:style>
  <w:style w:type="character" w:customStyle="1" w:styleId="st">
    <w:name w:val="st"/>
    <w:basedOn w:val="DefaultParagraphFont"/>
    <w:rsid w:val="00C94383"/>
  </w:style>
  <w:style w:type="paragraph" w:styleId="Footer">
    <w:name w:val="footer"/>
    <w:basedOn w:val="Normal"/>
    <w:link w:val="FooterChar"/>
    <w:uiPriority w:val="99"/>
    <w:rsid w:val="003F1D8B"/>
    <w:pPr>
      <w:tabs>
        <w:tab w:val="center" w:pos="4320"/>
        <w:tab w:val="right" w:pos="8640"/>
      </w:tabs>
    </w:pPr>
  </w:style>
  <w:style w:type="character" w:styleId="PageNumber">
    <w:name w:val="page number"/>
    <w:basedOn w:val="DefaultParagraphFont"/>
    <w:rsid w:val="003F1D8B"/>
  </w:style>
  <w:style w:type="paragraph" w:styleId="Header">
    <w:name w:val="header"/>
    <w:basedOn w:val="Normal"/>
    <w:link w:val="HeaderChar"/>
    <w:uiPriority w:val="99"/>
    <w:rsid w:val="00806F3D"/>
    <w:pPr>
      <w:tabs>
        <w:tab w:val="center" w:pos="4320"/>
        <w:tab w:val="right" w:pos="8640"/>
      </w:tabs>
    </w:pPr>
  </w:style>
  <w:style w:type="character" w:customStyle="1" w:styleId="FooterChar">
    <w:name w:val="Footer Char"/>
    <w:basedOn w:val="DefaultParagraphFont"/>
    <w:link w:val="Footer"/>
    <w:uiPriority w:val="99"/>
    <w:rsid w:val="00D97E28"/>
    <w:rPr>
      <w:sz w:val="24"/>
      <w:szCs w:val="24"/>
    </w:rPr>
  </w:style>
  <w:style w:type="paragraph" w:styleId="BalloonText">
    <w:name w:val="Balloon Text"/>
    <w:basedOn w:val="Normal"/>
    <w:link w:val="BalloonTextChar"/>
    <w:uiPriority w:val="99"/>
    <w:semiHidden/>
    <w:unhideWhenUsed/>
    <w:rsid w:val="009C0DAE"/>
    <w:rPr>
      <w:rFonts w:ascii="Tahoma" w:hAnsi="Tahoma" w:cs="Tahoma"/>
      <w:sz w:val="16"/>
      <w:szCs w:val="16"/>
    </w:rPr>
  </w:style>
  <w:style w:type="character" w:customStyle="1" w:styleId="BalloonTextChar">
    <w:name w:val="Balloon Text Char"/>
    <w:basedOn w:val="DefaultParagraphFont"/>
    <w:link w:val="BalloonText"/>
    <w:uiPriority w:val="99"/>
    <w:semiHidden/>
    <w:rsid w:val="009C0DAE"/>
    <w:rPr>
      <w:rFonts w:ascii="Tahoma" w:hAnsi="Tahoma" w:cs="Tahoma"/>
      <w:sz w:val="16"/>
      <w:szCs w:val="16"/>
    </w:rPr>
  </w:style>
  <w:style w:type="paragraph" w:styleId="ListParagraph">
    <w:name w:val="List Paragraph"/>
    <w:basedOn w:val="Normal"/>
    <w:uiPriority w:val="34"/>
    <w:qFormat/>
    <w:rsid w:val="00EE246D"/>
    <w:pPr>
      <w:ind w:left="720"/>
      <w:contextualSpacing/>
    </w:pPr>
  </w:style>
  <w:style w:type="paragraph" w:styleId="NoSpacing">
    <w:name w:val="No Spacing"/>
    <w:link w:val="NoSpacingChar"/>
    <w:uiPriority w:val="1"/>
    <w:qFormat/>
    <w:rsid w:val="002F1D9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F1D9A"/>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5E4B74"/>
    <w:rPr>
      <w:color w:val="808080"/>
    </w:rPr>
  </w:style>
  <w:style w:type="character" w:customStyle="1" w:styleId="Heading1Char">
    <w:name w:val="Heading 1 Char"/>
    <w:basedOn w:val="DefaultParagraphFont"/>
    <w:link w:val="Heading1"/>
    <w:rsid w:val="005E4B74"/>
    <w:rPr>
      <w:rFonts w:cs="Arial"/>
      <w:b/>
      <w:bCs/>
      <w:kern w:val="32"/>
      <w:sz w:val="24"/>
      <w:szCs w:val="32"/>
    </w:rPr>
  </w:style>
  <w:style w:type="character" w:customStyle="1" w:styleId="HeaderChar">
    <w:name w:val="Header Char"/>
    <w:basedOn w:val="DefaultParagraphFont"/>
    <w:link w:val="Header"/>
    <w:uiPriority w:val="99"/>
    <w:rsid w:val="00E0270F"/>
    <w:rPr>
      <w:sz w:val="24"/>
      <w:szCs w:val="24"/>
    </w:rPr>
  </w:style>
  <w:style w:type="character" w:customStyle="1" w:styleId="apple-converted-space">
    <w:name w:val="apple-converted-space"/>
    <w:basedOn w:val="DefaultParagraphFont"/>
    <w:rsid w:val="005F78C6"/>
  </w:style>
  <w:style w:type="character" w:styleId="LineNumber">
    <w:name w:val="line number"/>
    <w:basedOn w:val="DefaultParagraphFont"/>
    <w:uiPriority w:val="99"/>
    <w:semiHidden/>
    <w:unhideWhenUsed/>
    <w:rsid w:val="00D81095"/>
  </w:style>
</w:styles>
</file>

<file path=word/webSettings.xml><?xml version="1.0" encoding="utf-8"?>
<w:webSettings xmlns:r="http://schemas.openxmlformats.org/officeDocument/2006/relationships" xmlns:w="http://schemas.openxmlformats.org/wordprocessingml/2006/main">
  <w:divs>
    <w:div w:id="392704644">
      <w:bodyDiv w:val="1"/>
      <w:marLeft w:val="0"/>
      <w:marRight w:val="0"/>
      <w:marTop w:val="0"/>
      <w:marBottom w:val="0"/>
      <w:divBdr>
        <w:top w:val="none" w:sz="0" w:space="0" w:color="auto"/>
        <w:left w:val="none" w:sz="0" w:space="0" w:color="auto"/>
        <w:bottom w:val="none" w:sz="0" w:space="0" w:color="auto"/>
        <w:right w:val="none" w:sz="0" w:space="0" w:color="auto"/>
      </w:divBdr>
    </w:div>
    <w:div w:id="475997445">
      <w:bodyDiv w:val="1"/>
      <w:marLeft w:val="0"/>
      <w:marRight w:val="0"/>
      <w:marTop w:val="0"/>
      <w:marBottom w:val="0"/>
      <w:divBdr>
        <w:top w:val="none" w:sz="0" w:space="0" w:color="auto"/>
        <w:left w:val="none" w:sz="0" w:space="0" w:color="auto"/>
        <w:bottom w:val="none" w:sz="0" w:space="0" w:color="auto"/>
        <w:right w:val="none" w:sz="0" w:space="0" w:color="auto"/>
      </w:divBdr>
    </w:div>
    <w:div w:id="537205238">
      <w:bodyDiv w:val="1"/>
      <w:marLeft w:val="0"/>
      <w:marRight w:val="0"/>
      <w:marTop w:val="0"/>
      <w:marBottom w:val="0"/>
      <w:divBdr>
        <w:top w:val="none" w:sz="0" w:space="0" w:color="auto"/>
        <w:left w:val="none" w:sz="0" w:space="0" w:color="auto"/>
        <w:bottom w:val="none" w:sz="0" w:space="0" w:color="auto"/>
        <w:right w:val="none" w:sz="0" w:space="0" w:color="auto"/>
      </w:divBdr>
    </w:div>
    <w:div w:id="552816862">
      <w:bodyDiv w:val="1"/>
      <w:marLeft w:val="0"/>
      <w:marRight w:val="0"/>
      <w:marTop w:val="0"/>
      <w:marBottom w:val="0"/>
      <w:divBdr>
        <w:top w:val="none" w:sz="0" w:space="0" w:color="auto"/>
        <w:left w:val="none" w:sz="0" w:space="0" w:color="auto"/>
        <w:bottom w:val="none" w:sz="0" w:space="0" w:color="auto"/>
        <w:right w:val="none" w:sz="0" w:space="0" w:color="auto"/>
      </w:divBdr>
    </w:div>
    <w:div w:id="583223808">
      <w:bodyDiv w:val="1"/>
      <w:marLeft w:val="0"/>
      <w:marRight w:val="0"/>
      <w:marTop w:val="0"/>
      <w:marBottom w:val="0"/>
      <w:divBdr>
        <w:top w:val="none" w:sz="0" w:space="0" w:color="auto"/>
        <w:left w:val="none" w:sz="0" w:space="0" w:color="auto"/>
        <w:bottom w:val="none" w:sz="0" w:space="0" w:color="auto"/>
        <w:right w:val="none" w:sz="0" w:space="0" w:color="auto"/>
      </w:divBdr>
    </w:div>
    <w:div w:id="1080832584">
      <w:bodyDiv w:val="1"/>
      <w:marLeft w:val="0"/>
      <w:marRight w:val="0"/>
      <w:marTop w:val="0"/>
      <w:marBottom w:val="0"/>
      <w:divBdr>
        <w:top w:val="none" w:sz="0" w:space="0" w:color="auto"/>
        <w:left w:val="none" w:sz="0" w:space="0" w:color="auto"/>
        <w:bottom w:val="none" w:sz="0" w:space="0" w:color="auto"/>
        <w:right w:val="none" w:sz="0" w:space="0" w:color="auto"/>
      </w:divBdr>
    </w:div>
    <w:div w:id="1230771956">
      <w:bodyDiv w:val="1"/>
      <w:marLeft w:val="0"/>
      <w:marRight w:val="0"/>
      <w:marTop w:val="0"/>
      <w:marBottom w:val="0"/>
      <w:divBdr>
        <w:top w:val="none" w:sz="0" w:space="0" w:color="auto"/>
        <w:left w:val="none" w:sz="0" w:space="0" w:color="auto"/>
        <w:bottom w:val="none" w:sz="0" w:space="0" w:color="auto"/>
        <w:right w:val="none" w:sz="0" w:space="0" w:color="auto"/>
      </w:divBdr>
    </w:div>
    <w:div w:id="1344013028">
      <w:bodyDiv w:val="1"/>
      <w:marLeft w:val="0"/>
      <w:marRight w:val="0"/>
      <w:marTop w:val="0"/>
      <w:marBottom w:val="0"/>
      <w:divBdr>
        <w:top w:val="none" w:sz="0" w:space="0" w:color="auto"/>
        <w:left w:val="none" w:sz="0" w:space="0" w:color="auto"/>
        <w:bottom w:val="none" w:sz="0" w:space="0" w:color="auto"/>
        <w:right w:val="none" w:sz="0" w:space="0" w:color="auto"/>
      </w:divBdr>
    </w:div>
    <w:div w:id="1751655010">
      <w:bodyDiv w:val="1"/>
      <w:marLeft w:val="0"/>
      <w:marRight w:val="0"/>
      <w:marTop w:val="0"/>
      <w:marBottom w:val="0"/>
      <w:divBdr>
        <w:top w:val="none" w:sz="0" w:space="0" w:color="auto"/>
        <w:left w:val="none" w:sz="0" w:space="0" w:color="auto"/>
        <w:bottom w:val="none" w:sz="0" w:space="0" w:color="auto"/>
        <w:right w:val="none" w:sz="0" w:space="0" w:color="auto"/>
      </w:divBdr>
    </w:div>
    <w:div w:id="20460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F44D0-F666-4A06-ABC3-33E4813E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CHAPTER I</vt:lpstr>
    </vt:vector>
  </TitlesOfParts>
  <Company>CVASU</Company>
  <LinksUpToDate>false</LinksUpToDate>
  <CharactersWithSpaces>7163</CharactersWithSpaces>
  <SharedDoc>false</SharedDoc>
  <HLinks>
    <vt:vector size="6" baseType="variant">
      <vt:variant>
        <vt:i4>3735590</vt:i4>
      </vt:variant>
      <vt:variant>
        <vt:i4>0</vt:i4>
      </vt:variant>
      <vt:variant>
        <vt:i4>0</vt:i4>
      </vt:variant>
      <vt:variant>
        <vt:i4>5</vt:i4>
      </vt:variant>
      <vt:variant>
        <vt:lpwstr>http://www.ncbi.nlm.nih.gov/pubmed/12479559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dc:title>
  <dc:subject>INTRODUCTION</dc:subject>
  <dc:creator>SHUBHO</dc:creator>
  <cp:lastModifiedBy>DR. MAMUN</cp:lastModifiedBy>
  <cp:revision>7</cp:revision>
  <cp:lastPrinted>2011-09-11T05:26:00Z</cp:lastPrinted>
  <dcterms:created xsi:type="dcterms:W3CDTF">2014-02-17T16:12:00Z</dcterms:created>
  <dcterms:modified xsi:type="dcterms:W3CDTF">2014-02-17T17:44:00Z</dcterms:modified>
</cp:coreProperties>
</file>