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A24" w:rsidRPr="006949BD" w:rsidRDefault="00CF2A24" w:rsidP="00CF2A24">
      <w:pPr>
        <w:spacing w:line="276" w:lineRule="auto"/>
        <w:rPr>
          <w:b/>
          <w:sz w:val="24"/>
          <w:szCs w:val="24"/>
        </w:rPr>
      </w:pPr>
      <w:r w:rsidRPr="006949BD">
        <w:rPr>
          <w:b/>
          <w:sz w:val="24"/>
          <w:szCs w:val="24"/>
        </w:rPr>
        <w:t>NEW APPROACHES FOR DIAGNOSIS OF VIRAL DISEASES IN DOMESTIC AND WILD ANIMALS</w:t>
      </w: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r w:rsidRPr="00561279">
        <w:rPr>
          <w:sz w:val="24"/>
          <w:szCs w:val="24"/>
        </w:rPr>
        <w:t>Minakshi Prasad</w:t>
      </w:r>
      <w:r w:rsidRPr="00561279">
        <w:rPr>
          <w:sz w:val="24"/>
          <w:szCs w:val="24"/>
          <w:vertAlign w:val="superscript"/>
        </w:rPr>
        <w:t>1</w:t>
      </w:r>
      <w:r w:rsidRPr="00561279">
        <w:rPr>
          <w:sz w:val="24"/>
          <w:szCs w:val="24"/>
        </w:rPr>
        <w:t>, Koushlesh Ranjan</w:t>
      </w:r>
      <w:r w:rsidRPr="00561279">
        <w:rPr>
          <w:sz w:val="24"/>
          <w:szCs w:val="24"/>
          <w:vertAlign w:val="superscript"/>
        </w:rPr>
        <w:t>1</w:t>
      </w:r>
      <w:r w:rsidR="00B74A20">
        <w:rPr>
          <w:sz w:val="24"/>
          <w:szCs w:val="24"/>
        </w:rPr>
        <w:t xml:space="preserve">, </w:t>
      </w:r>
      <w:proofErr w:type="spellStart"/>
      <w:r w:rsidR="00B74A20">
        <w:rPr>
          <w:sz w:val="24"/>
          <w:szCs w:val="24"/>
        </w:rPr>
        <w:t>Basanti</w:t>
      </w:r>
      <w:proofErr w:type="spellEnd"/>
      <w:r w:rsidR="00B74A20">
        <w:rPr>
          <w:sz w:val="24"/>
          <w:szCs w:val="24"/>
        </w:rPr>
        <w:t xml:space="preserve"> B</w:t>
      </w:r>
      <w:r w:rsidRPr="00561279">
        <w:rPr>
          <w:sz w:val="24"/>
          <w:szCs w:val="24"/>
        </w:rPr>
        <w:t>rar</w:t>
      </w:r>
      <w:r w:rsidRPr="00561279">
        <w:rPr>
          <w:sz w:val="24"/>
          <w:szCs w:val="24"/>
          <w:vertAlign w:val="superscript"/>
        </w:rPr>
        <w:t>1</w:t>
      </w:r>
      <w:r w:rsidRPr="00561279">
        <w:rPr>
          <w:sz w:val="24"/>
          <w:szCs w:val="24"/>
        </w:rPr>
        <w:t xml:space="preserve">, </w:t>
      </w:r>
      <w:proofErr w:type="spellStart"/>
      <w:r w:rsidRPr="00561279">
        <w:rPr>
          <w:sz w:val="24"/>
          <w:szCs w:val="24"/>
        </w:rPr>
        <w:t>Supriya</w:t>
      </w:r>
      <w:proofErr w:type="spellEnd"/>
      <w:r w:rsidRPr="00561279">
        <w:rPr>
          <w:sz w:val="24"/>
          <w:szCs w:val="24"/>
        </w:rPr>
        <w:t xml:space="preserve"> Am</w:t>
      </w:r>
      <w:r w:rsidR="00D8275D">
        <w:rPr>
          <w:sz w:val="24"/>
          <w:szCs w:val="24"/>
        </w:rPr>
        <w:t>b</w:t>
      </w:r>
      <w:bookmarkStart w:id="0" w:name="_GoBack"/>
      <w:bookmarkEnd w:id="0"/>
      <w:r w:rsidRPr="00561279">
        <w:rPr>
          <w:sz w:val="24"/>
          <w:szCs w:val="24"/>
        </w:rPr>
        <w:t>awat</w:t>
      </w:r>
      <w:r w:rsidRPr="00561279">
        <w:rPr>
          <w:sz w:val="24"/>
          <w:szCs w:val="24"/>
          <w:vertAlign w:val="superscript"/>
        </w:rPr>
        <w:t>1</w:t>
      </w:r>
      <w:r w:rsidR="00270001">
        <w:rPr>
          <w:sz w:val="24"/>
          <w:szCs w:val="24"/>
        </w:rPr>
        <w:t xml:space="preserve">, </w:t>
      </w:r>
      <w:proofErr w:type="spellStart"/>
      <w:r w:rsidRPr="00561279">
        <w:rPr>
          <w:sz w:val="24"/>
          <w:szCs w:val="24"/>
        </w:rPr>
        <w:t>Mukhtar</w:t>
      </w:r>
      <w:proofErr w:type="spellEnd"/>
      <w:r w:rsidRPr="00561279">
        <w:rPr>
          <w:sz w:val="24"/>
          <w:szCs w:val="24"/>
        </w:rPr>
        <w:t xml:space="preserve"> Shafiq</w:t>
      </w:r>
      <w:r w:rsidRPr="00561279">
        <w:rPr>
          <w:sz w:val="24"/>
          <w:szCs w:val="24"/>
          <w:vertAlign w:val="superscript"/>
        </w:rPr>
        <w:t>1</w:t>
      </w:r>
      <w:r w:rsidRPr="00561279">
        <w:rPr>
          <w:sz w:val="24"/>
          <w:szCs w:val="24"/>
        </w:rPr>
        <w:t>, Alisha Alisha</w:t>
      </w:r>
      <w:r w:rsidRPr="00561279">
        <w:rPr>
          <w:sz w:val="24"/>
          <w:szCs w:val="24"/>
          <w:vertAlign w:val="superscript"/>
        </w:rPr>
        <w:t>1</w:t>
      </w:r>
      <w:r w:rsidRPr="00561279">
        <w:rPr>
          <w:sz w:val="24"/>
          <w:szCs w:val="24"/>
        </w:rPr>
        <w:t xml:space="preserve">, </w:t>
      </w:r>
      <w:proofErr w:type="spellStart"/>
      <w:r w:rsidRPr="00561279">
        <w:rPr>
          <w:sz w:val="24"/>
          <w:szCs w:val="24"/>
        </w:rPr>
        <w:t>Pawan</w:t>
      </w:r>
      <w:proofErr w:type="spellEnd"/>
      <w:r w:rsidRPr="00561279">
        <w:rPr>
          <w:sz w:val="24"/>
          <w:szCs w:val="24"/>
        </w:rPr>
        <w:t xml:space="preserve"> Kumar</w:t>
      </w:r>
      <w:r w:rsidRPr="00561279">
        <w:rPr>
          <w:sz w:val="24"/>
          <w:szCs w:val="24"/>
          <w:vertAlign w:val="superscript"/>
        </w:rPr>
        <w:t>1</w:t>
      </w:r>
      <w:r w:rsidRPr="00561279">
        <w:rPr>
          <w:sz w:val="24"/>
          <w:szCs w:val="24"/>
        </w:rPr>
        <w:t xml:space="preserve">, </w:t>
      </w:r>
      <w:proofErr w:type="spellStart"/>
      <w:r w:rsidRPr="00561279">
        <w:rPr>
          <w:sz w:val="24"/>
          <w:szCs w:val="24"/>
        </w:rPr>
        <w:t>Vinay</w:t>
      </w:r>
      <w:proofErr w:type="spellEnd"/>
      <w:r w:rsidRPr="00561279">
        <w:rPr>
          <w:sz w:val="24"/>
          <w:szCs w:val="24"/>
        </w:rPr>
        <w:t xml:space="preserve"> </w:t>
      </w:r>
      <w:proofErr w:type="spellStart"/>
      <w:r w:rsidRPr="00561279">
        <w:rPr>
          <w:sz w:val="24"/>
          <w:szCs w:val="24"/>
        </w:rPr>
        <w:t>joshi</w:t>
      </w:r>
      <w:proofErr w:type="spellEnd"/>
      <w:r w:rsidRPr="00561279">
        <w:rPr>
          <w:sz w:val="24"/>
          <w:szCs w:val="24"/>
        </w:rPr>
        <w:t xml:space="preserve"> Ganesharao</w:t>
      </w:r>
      <w:r w:rsidRPr="00561279">
        <w:rPr>
          <w:sz w:val="24"/>
          <w:szCs w:val="24"/>
          <w:vertAlign w:val="superscript"/>
        </w:rPr>
        <w:t>1</w:t>
      </w:r>
      <w:r w:rsidRPr="00561279">
        <w:rPr>
          <w:sz w:val="24"/>
          <w:szCs w:val="24"/>
        </w:rPr>
        <w:t xml:space="preserve">, </w:t>
      </w:r>
      <w:proofErr w:type="spellStart"/>
      <w:r w:rsidRPr="00561279">
        <w:rPr>
          <w:sz w:val="24"/>
          <w:szCs w:val="24"/>
        </w:rPr>
        <w:t>Savi</w:t>
      </w:r>
      <w:proofErr w:type="spellEnd"/>
      <w:r w:rsidR="00270001">
        <w:rPr>
          <w:sz w:val="24"/>
          <w:szCs w:val="24"/>
        </w:rPr>
        <w:t xml:space="preserve"> Jakhar</w:t>
      </w:r>
      <w:r w:rsidR="008A55AA" w:rsidRPr="00561279">
        <w:rPr>
          <w:sz w:val="24"/>
          <w:szCs w:val="24"/>
          <w:vertAlign w:val="superscript"/>
        </w:rPr>
        <w:t>1</w:t>
      </w:r>
      <w:r w:rsidRPr="00561279">
        <w:rPr>
          <w:sz w:val="24"/>
          <w:szCs w:val="24"/>
        </w:rPr>
        <w:t xml:space="preserve">,  </w:t>
      </w:r>
      <w:proofErr w:type="spellStart"/>
      <w:r w:rsidRPr="00561279">
        <w:rPr>
          <w:sz w:val="24"/>
          <w:szCs w:val="24"/>
        </w:rPr>
        <w:t>Shweta</w:t>
      </w:r>
      <w:proofErr w:type="spellEnd"/>
      <w:r w:rsidRPr="00561279">
        <w:rPr>
          <w:sz w:val="24"/>
          <w:szCs w:val="24"/>
        </w:rPr>
        <w:t xml:space="preserve"> Balodi</w:t>
      </w:r>
      <w:r w:rsidRPr="00561279">
        <w:rPr>
          <w:sz w:val="24"/>
          <w:szCs w:val="24"/>
          <w:vertAlign w:val="superscript"/>
        </w:rPr>
        <w:t>1</w:t>
      </w:r>
      <w:r w:rsidRPr="00561279">
        <w:rPr>
          <w:sz w:val="24"/>
          <w:szCs w:val="24"/>
        </w:rPr>
        <w:t>, Anjali Singh</w:t>
      </w:r>
      <w:r w:rsidRPr="00561279">
        <w:rPr>
          <w:sz w:val="24"/>
          <w:szCs w:val="24"/>
          <w:vertAlign w:val="superscript"/>
        </w:rPr>
        <w:t>1</w:t>
      </w:r>
      <w:r w:rsidRPr="00561279">
        <w:rPr>
          <w:sz w:val="24"/>
          <w:szCs w:val="24"/>
        </w:rPr>
        <w:t>, Gaya Prasad</w:t>
      </w:r>
      <w:r w:rsidRPr="00561279">
        <w:rPr>
          <w:sz w:val="24"/>
          <w:szCs w:val="24"/>
          <w:vertAlign w:val="superscript"/>
        </w:rPr>
        <w:t>1</w:t>
      </w: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rPr>
          <w:sz w:val="24"/>
          <w:szCs w:val="24"/>
        </w:rPr>
      </w:pPr>
    </w:p>
    <w:p w:rsidR="00CF2A24" w:rsidRPr="00561279" w:rsidRDefault="00CF2A24" w:rsidP="00CF2A24">
      <w:pPr>
        <w:spacing w:line="276" w:lineRule="auto"/>
        <w:jc w:val="both"/>
        <w:rPr>
          <w:sz w:val="24"/>
          <w:szCs w:val="24"/>
          <w:lang w:val="en-IN"/>
        </w:rPr>
      </w:pPr>
      <w:r w:rsidRPr="00561279">
        <w:rPr>
          <w:sz w:val="24"/>
          <w:szCs w:val="24"/>
          <w:vertAlign w:val="superscript"/>
          <w:lang w:val="en-IN"/>
        </w:rPr>
        <w:t>1</w:t>
      </w:r>
      <w:r w:rsidRPr="00561279">
        <w:rPr>
          <w:sz w:val="24"/>
          <w:szCs w:val="24"/>
          <w:lang w:val="en-IN"/>
        </w:rPr>
        <w:t>Department of Animal Biotechnology, LLR university of Veterinary and Animal Sciences, Hisar, Haryana, India, 125004</w:t>
      </w: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Default="008672B7" w:rsidP="00CF2A24">
      <w:pPr>
        <w:spacing w:line="276" w:lineRule="auto"/>
        <w:jc w:val="both"/>
        <w:rPr>
          <w:sz w:val="24"/>
          <w:szCs w:val="24"/>
        </w:rPr>
      </w:pPr>
      <w:r>
        <w:rPr>
          <w:sz w:val="24"/>
          <w:szCs w:val="24"/>
        </w:rPr>
        <w:t>Number of Figures- 1</w:t>
      </w:r>
      <w:r w:rsidR="00B46EBD">
        <w:rPr>
          <w:sz w:val="24"/>
          <w:szCs w:val="24"/>
        </w:rPr>
        <w:t>2</w:t>
      </w:r>
    </w:p>
    <w:p w:rsidR="00B46EBD" w:rsidRPr="00561279" w:rsidRDefault="00B46EBD" w:rsidP="00CF2A24">
      <w:pPr>
        <w:spacing w:line="276" w:lineRule="auto"/>
        <w:jc w:val="both"/>
        <w:rPr>
          <w:sz w:val="24"/>
          <w:szCs w:val="24"/>
        </w:rPr>
      </w:pPr>
      <w:r>
        <w:rPr>
          <w:sz w:val="24"/>
          <w:szCs w:val="24"/>
        </w:rPr>
        <w:t>Number of Tables-0</w:t>
      </w: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sz w:val="24"/>
          <w:szCs w:val="24"/>
          <w:lang w:val="en-IN"/>
        </w:rPr>
      </w:pPr>
    </w:p>
    <w:p w:rsidR="00CF2A24" w:rsidRPr="00561279" w:rsidRDefault="00CF2A24" w:rsidP="00CF2A24">
      <w:pPr>
        <w:spacing w:line="276" w:lineRule="auto"/>
        <w:jc w:val="both"/>
        <w:rPr>
          <w:bCs/>
          <w:sz w:val="24"/>
          <w:szCs w:val="24"/>
          <w:lang w:val="en-IN"/>
        </w:rPr>
      </w:pPr>
      <w:r w:rsidRPr="00561279">
        <w:rPr>
          <w:bCs/>
          <w:sz w:val="24"/>
          <w:szCs w:val="24"/>
          <w:lang w:val="en-IN"/>
        </w:rPr>
        <w:t>*Corresponding author:</w:t>
      </w:r>
    </w:p>
    <w:p w:rsidR="00CF2A24" w:rsidRPr="00561279" w:rsidRDefault="00CF2A24" w:rsidP="00CF2A24">
      <w:pPr>
        <w:spacing w:line="276" w:lineRule="auto"/>
        <w:jc w:val="both"/>
        <w:rPr>
          <w:bCs/>
          <w:sz w:val="24"/>
          <w:szCs w:val="24"/>
          <w:lang w:val="en-IN"/>
        </w:rPr>
      </w:pPr>
      <w:r w:rsidRPr="00561279">
        <w:rPr>
          <w:bCs/>
          <w:sz w:val="24"/>
          <w:szCs w:val="24"/>
          <w:lang w:val="en-IN"/>
        </w:rPr>
        <w:t>Dr. Minakshi Prasad, Professor</w:t>
      </w:r>
      <w:r w:rsidR="009D3AFA">
        <w:rPr>
          <w:bCs/>
          <w:sz w:val="24"/>
          <w:szCs w:val="24"/>
          <w:lang w:val="en-IN"/>
        </w:rPr>
        <w:t xml:space="preserve"> and Head</w:t>
      </w:r>
    </w:p>
    <w:p w:rsidR="00CF2A24" w:rsidRPr="00561279" w:rsidRDefault="00CF2A24" w:rsidP="00CF2A24">
      <w:pPr>
        <w:spacing w:line="276" w:lineRule="auto"/>
        <w:jc w:val="both"/>
        <w:rPr>
          <w:bCs/>
          <w:sz w:val="24"/>
          <w:szCs w:val="24"/>
          <w:lang w:val="en-IN"/>
        </w:rPr>
      </w:pPr>
      <w:proofErr w:type="gramStart"/>
      <w:r w:rsidRPr="00561279">
        <w:rPr>
          <w:bCs/>
          <w:sz w:val="24"/>
          <w:szCs w:val="24"/>
          <w:lang w:val="en-IN"/>
        </w:rPr>
        <w:t xml:space="preserve">Department of Animal Biotechnology, LLR University of Veterinary and </w:t>
      </w:r>
      <w:r w:rsidR="0098056B">
        <w:rPr>
          <w:bCs/>
          <w:sz w:val="24"/>
          <w:szCs w:val="24"/>
          <w:lang w:val="en-IN"/>
        </w:rPr>
        <w:t>A</w:t>
      </w:r>
      <w:r w:rsidRPr="00561279">
        <w:rPr>
          <w:bCs/>
          <w:sz w:val="24"/>
          <w:szCs w:val="24"/>
          <w:lang w:val="en-IN"/>
        </w:rPr>
        <w:t>nimal Sciences, Hisar, India.</w:t>
      </w:r>
      <w:proofErr w:type="gramEnd"/>
    </w:p>
    <w:p w:rsidR="00CF2A24" w:rsidRPr="00561279" w:rsidRDefault="00CF2A24" w:rsidP="00CF2A24">
      <w:pPr>
        <w:spacing w:line="276" w:lineRule="auto"/>
        <w:jc w:val="both"/>
        <w:rPr>
          <w:bCs/>
          <w:sz w:val="24"/>
          <w:szCs w:val="24"/>
          <w:lang w:val="en-IN"/>
        </w:rPr>
      </w:pPr>
      <w:r w:rsidRPr="00561279">
        <w:rPr>
          <w:bCs/>
          <w:sz w:val="24"/>
          <w:szCs w:val="24"/>
          <w:lang w:val="en-IN"/>
        </w:rPr>
        <w:t>Phone no. 01662289132</w:t>
      </w:r>
    </w:p>
    <w:p w:rsidR="00CF2A24" w:rsidRPr="00561279" w:rsidRDefault="00CF2A24" w:rsidP="00CF2A24">
      <w:pPr>
        <w:spacing w:line="276" w:lineRule="auto"/>
        <w:jc w:val="both"/>
        <w:rPr>
          <w:bCs/>
          <w:sz w:val="24"/>
          <w:szCs w:val="24"/>
          <w:lang w:val="en-IN"/>
        </w:rPr>
      </w:pPr>
      <w:r w:rsidRPr="00561279">
        <w:rPr>
          <w:bCs/>
          <w:sz w:val="24"/>
          <w:szCs w:val="24"/>
          <w:lang w:val="en-IN"/>
        </w:rPr>
        <w:t>Email: minakshi.abt@gmail.com</w:t>
      </w:r>
    </w:p>
    <w:p w:rsidR="00CF2A24" w:rsidRPr="00561279" w:rsidRDefault="00CF2A24" w:rsidP="00CF2A24">
      <w:pPr>
        <w:spacing w:line="276" w:lineRule="auto"/>
        <w:jc w:val="both"/>
        <w:rPr>
          <w:sz w:val="24"/>
          <w:szCs w:val="24"/>
        </w:rPr>
      </w:pPr>
    </w:p>
    <w:p w:rsidR="00CF2A24" w:rsidRPr="00561279" w:rsidRDefault="00CF2A24" w:rsidP="00CF2A24">
      <w:pPr>
        <w:spacing w:before="100" w:beforeAutospacing="1" w:after="100" w:afterAutospacing="1" w:line="276" w:lineRule="auto"/>
        <w:jc w:val="both"/>
        <w:rPr>
          <w:sz w:val="24"/>
          <w:szCs w:val="24"/>
        </w:rPr>
      </w:pPr>
    </w:p>
    <w:p w:rsidR="00CF2A24" w:rsidRPr="00561279" w:rsidRDefault="00CF2A24" w:rsidP="00CF2A24">
      <w:pPr>
        <w:spacing w:before="100" w:beforeAutospacing="1" w:after="100" w:afterAutospacing="1" w:line="276" w:lineRule="auto"/>
        <w:jc w:val="both"/>
        <w:rPr>
          <w:sz w:val="24"/>
          <w:szCs w:val="24"/>
        </w:rPr>
      </w:pPr>
    </w:p>
    <w:p w:rsidR="00CF2A24" w:rsidRPr="006949BD" w:rsidRDefault="00CF2A24" w:rsidP="00CF2A24">
      <w:pPr>
        <w:spacing w:before="100" w:beforeAutospacing="1" w:after="100" w:afterAutospacing="1" w:line="276" w:lineRule="auto"/>
        <w:jc w:val="both"/>
        <w:rPr>
          <w:rFonts w:eastAsia="Times New Roman"/>
          <w:b/>
          <w:bCs/>
          <w:iCs/>
          <w:sz w:val="24"/>
          <w:szCs w:val="24"/>
          <w:lang w:eastAsia="en-IN"/>
        </w:rPr>
      </w:pPr>
      <w:r w:rsidRPr="006949BD">
        <w:rPr>
          <w:rFonts w:eastAsia="Times New Roman"/>
          <w:b/>
          <w:bCs/>
          <w:iCs/>
          <w:sz w:val="24"/>
          <w:szCs w:val="24"/>
          <w:lang w:eastAsia="en-IN"/>
        </w:rPr>
        <w:lastRenderedPageBreak/>
        <w:t>ABSTRACT</w:t>
      </w:r>
    </w:p>
    <w:p w:rsidR="00CF2A24" w:rsidRPr="00561279" w:rsidRDefault="00CF2A24" w:rsidP="00CF2A24">
      <w:pPr>
        <w:spacing w:before="100" w:beforeAutospacing="1" w:after="100" w:afterAutospacing="1" w:line="276" w:lineRule="auto"/>
        <w:jc w:val="both"/>
        <w:rPr>
          <w:bCs/>
          <w:sz w:val="24"/>
          <w:szCs w:val="24"/>
        </w:rPr>
      </w:pPr>
      <w:r w:rsidRPr="00561279">
        <w:rPr>
          <w:rFonts w:eastAsia="Times New Roman"/>
          <w:bCs/>
          <w:sz w:val="24"/>
          <w:szCs w:val="24"/>
          <w:lang w:eastAsia="en-IN"/>
        </w:rPr>
        <w:t>Identification and control of viruse</w:t>
      </w:r>
      <w:r w:rsidR="00C37FB2">
        <w:rPr>
          <w:rFonts w:eastAsia="Times New Roman"/>
          <w:bCs/>
          <w:sz w:val="24"/>
          <w:szCs w:val="24"/>
          <w:lang w:eastAsia="en-IN"/>
        </w:rPr>
        <w:t>s that causes diseases in human</w:t>
      </w:r>
      <w:r w:rsidRPr="00561279">
        <w:rPr>
          <w:rFonts w:eastAsia="Times New Roman"/>
          <w:bCs/>
          <w:sz w:val="24"/>
          <w:szCs w:val="24"/>
          <w:lang w:eastAsia="en-IN"/>
        </w:rPr>
        <w:t>, domestic animals and wild ruminants represent continuous challenges to human and veterinary medicine. The ubiquity of infections makes their detection a healthcare priority.</w:t>
      </w:r>
      <w:r w:rsidRPr="00561279">
        <w:rPr>
          <w:bCs/>
          <w:sz w:val="24"/>
          <w:szCs w:val="24"/>
        </w:rPr>
        <w:t xml:space="preserve"> F</w:t>
      </w:r>
      <w:r w:rsidR="00C37FB2">
        <w:rPr>
          <w:bCs/>
          <w:sz w:val="24"/>
          <w:szCs w:val="24"/>
        </w:rPr>
        <w:t>rom</w:t>
      </w:r>
      <w:r w:rsidRPr="00561279">
        <w:rPr>
          <w:bCs/>
          <w:sz w:val="24"/>
          <w:szCs w:val="24"/>
        </w:rPr>
        <w:t xml:space="preserve"> centuries </w:t>
      </w:r>
      <w:r w:rsidR="00C37FB2">
        <w:rPr>
          <w:bCs/>
          <w:sz w:val="24"/>
          <w:szCs w:val="24"/>
        </w:rPr>
        <w:t xml:space="preserve">many diagnostic techniques have been </w:t>
      </w:r>
      <w:r w:rsidRPr="00561279">
        <w:rPr>
          <w:bCs/>
          <w:sz w:val="24"/>
          <w:szCs w:val="24"/>
        </w:rPr>
        <w:t xml:space="preserve">tried to identify individual infectious agents by their clinical signs and symptoms produced in the susceptible host. But it is not always possible to identify or differentiate the disease on the basis of its signs and symptoms and thus requires other diagnostic procedures to clearly identify and confirm the disease etiology which is desirable or, indeed essential. Rapid detection of infectious agents in animals as well as ecosystem is </w:t>
      </w:r>
      <w:r w:rsidR="00591961">
        <w:rPr>
          <w:bCs/>
          <w:sz w:val="24"/>
          <w:szCs w:val="24"/>
        </w:rPr>
        <w:t>essential</w:t>
      </w:r>
      <w:r w:rsidRPr="00561279">
        <w:rPr>
          <w:bCs/>
          <w:sz w:val="24"/>
          <w:szCs w:val="24"/>
        </w:rPr>
        <w:t xml:space="preserve"> for effective control and management of infectious diseases. To control any disease causing agents, it is necessary to first diagnose it. There are various approaches for detection of viral diseases which includes conventional as well as modern approaches. Conventional methods such as culture, serology, and histological identification are traditionally used to identify viral pathogens. However, the latest molecular diagnostic technologies are more advantageous as are sensitive, less time consuming, high throughput, offer unparalleled detection and discrimination methodologies. The novel technologies such as polymerase chain reaction (PCR), Reverse Transcriptase PCR (RT</w:t>
      </w:r>
      <w:r w:rsidR="00CA3228">
        <w:rPr>
          <w:bCs/>
          <w:sz w:val="24"/>
          <w:szCs w:val="24"/>
        </w:rPr>
        <w:t xml:space="preserve">-PCR), Real Time-PCR, DNA probe, nucleic acid sequencing </w:t>
      </w:r>
      <w:r w:rsidRPr="00561279">
        <w:rPr>
          <w:bCs/>
          <w:sz w:val="24"/>
          <w:szCs w:val="24"/>
        </w:rPr>
        <w:t>etc. provide a thorough understanding of accurate diagnosis and discrimination of present and emerging diseases. The aim of these new tools is to detect the presence of pathogen before the onset of disease. The development of novel technologies can only be successful if they are transferred and used in the field with a sustainable quality-assured application to allow for the optimal detection and effective control of diseases. Here we have discussed the advancement of diagnostic tools and their applications for important animal viruses of domestic and wild animals.</w:t>
      </w:r>
    </w:p>
    <w:p w:rsidR="00CF2A24" w:rsidRPr="00561279" w:rsidRDefault="00CF2A24" w:rsidP="00CF2A24">
      <w:pPr>
        <w:spacing w:before="100" w:beforeAutospacing="1" w:after="100" w:afterAutospacing="1" w:line="276" w:lineRule="auto"/>
        <w:jc w:val="both"/>
        <w:rPr>
          <w:bCs/>
          <w:iCs/>
          <w:sz w:val="24"/>
          <w:szCs w:val="24"/>
        </w:rPr>
      </w:pPr>
      <w:r w:rsidRPr="00561279">
        <w:rPr>
          <w:i/>
          <w:sz w:val="24"/>
          <w:szCs w:val="24"/>
        </w:rPr>
        <w:t xml:space="preserve">Keywords: </w:t>
      </w:r>
      <w:r w:rsidRPr="00561279">
        <w:rPr>
          <w:bCs/>
          <w:iCs/>
          <w:sz w:val="24"/>
          <w:szCs w:val="24"/>
        </w:rPr>
        <w:t>BTV, Rota virus, Diagnostic tools, DNA probe, real time PCR</w:t>
      </w:r>
    </w:p>
    <w:p w:rsidR="00CF2A24" w:rsidRPr="006949BD" w:rsidRDefault="00CF2A24" w:rsidP="00CF2A24">
      <w:pPr>
        <w:pStyle w:val="Heading1"/>
        <w:numPr>
          <w:ilvl w:val="0"/>
          <w:numId w:val="0"/>
        </w:numPr>
        <w:tabs>
          <w:tab w:val="clear" w:pos="216"/>
        </w:tabs>
        <w:spacing w:before="100" w:beforeAutospacing="1" w:after="100" w:afterAutospacing="1" w:line="276" w:lineRule="auto"/>
        <w:jc w:val="left"/>
        <w:rPr>
          <w:b/>
          <w:bCs/>
          <w:sz w:val="24"/>
          <w:szCs w:val="24"/>
        </w:rPr>
      </w:pPr>
      <w:r w:rsidRPr="006949BD">
        <w:rPr>
          <w:b/>
          <w:bCs/>
          <w:sz w:val="24"/>
          <w:szCs w:val="24"/>
        </w:rPr>
        <w:t>Introduction</w:t>
      </w:r>
    </w:p>
    <w:p w:rsidR="00CF2A24" w:rsidRPr="00561279" w:rsidRDefault="00CF2A24" w:rsidP="00CF2A24">
      <w:pPr>
        <w:autoSpaceDE w:val="0"/>
        <w:autoSpaceDN w:val="0"/>
        <w:adjustRightInd w:val="0"/>
        <w:spacing w:before="100" w:beforeAutospacing="1" w:after="100" w:afterAutospacing="1" w:line="276" w:lineRule="auto"/>
        <w:jc w:val="both"/>
        <w:rPr>
          <w:sz w:val="24"/>
          <w:szCs w:val="24"/>
        </w:rPr>
      </w:pPr>
      <w:r w:rsidRPr="00561279">
        <w:rPr>
          <w:sz w:val="24"/>
          <w:szCs w:val="24"/>
        </w:rPr>
        <w:t xml:space="preserve">Viruses are serious threats to human and animal health. </w:t>
      </w:r>
      <w:r w:rsidR="00857A8F">
        <w:rPr>
          <w:sz w:val="24"/>
          <w:szCs w:val="24"/>
        </w:rPr>
        <w:t xml:space="preserve">Only </w:t>
      </w:r>
      <w:r w:rsidR="00857A8F" w:rsidRPr="00561279">
        <w:rPr>
          <w:sz w:val="24"/>
          <w:szCs w:val="24"/>
        </w:rPr>
        <w:t xml:space="preserve">few antiviral treatments are available </w:t>
      </w:r>
      <w:r w:rsidR="00857A8F">
        <w:rPr>
          <w:sz w:val="24"/>
          <w:szCs w:val="24"/>
        </w:rPr>
        <w:t>viral</w:t>
      </w:r>
      <w:r w:rsidR="00857A8F" w:rsidRPr="00561279">
        <w:rPr>
          <w:sz w:val="24"/>
          <w:szCs w:val="24"/>
        </w:rPr>
        <w:t xml:space="preserve"> infections</w:t>
      </w:r>
      <w:r w:rsidR="00857A8F">
        <w:rPr>
          <w:sz w:val="24"/>
          <w:szCs w:val="24"/>
        </w:rPr>
        <w:t>. However,</w:t>
      </w:r>
      <w:r w:rsidR="00857A8F" w:rsidRPr="00561279">
        <w:rPr>
          <w:sz w:val="24"/>
          <w:szCs w:val="24"/>
        </w:rPr>
        <w:t xml:space="preserve"> </w:t>
      </w:r>
      <w:r w:rsidR="00857A8F">
        <w:rPr>
          <w:sz w:val="24"/>
          <w:szCs w:val="24"/>
        </w:rPr>
        <w:t>v</w:t>
      </w:r>
      <w:r w:rsidRPr="00561279">
        <w:rPr>
          <w:sz w:val="24"/>
          <w:szCs w:val="24"/>
        </w:rPr>
        <w:t>accines can prevent viral diseases</w:t>
      </w:r>
      <w:r w:rsidR="00857A8F">
        <w:rPr>
          <w:sz w:val="24"/>
          <w:szCs w:val="24"/>
        </w:rPr>
        <w:t>.</w:t>
      </w:r>
      <w:r w:rsidRPr="00561279">
        <w:rPr>
          <w:sz w:val="24"/>
          <w:szCs w:val="24"/>
        </w:rPr>
        <w:t xml:space="preserve"> The early and rapid detection and characterization of specific nucleic acids of medico-veterinary pathogens have proven invaluable for diagnostic purposes. </w:t>
      </w:r>
      <w:r w:rsidRPr="00561279">
        <w:rPr>
          <w:iCs/>
          <w:sz w:val="24"/>
          <w:szCs w:val="24"/>
        </w:rPr>
        <w:t xml:space="preserve">Bluetongue virus </w:t>
      </w:r>
      <w:r w:rsidRPr="00561279">
        <w:rPr>
          <w:sz w:val="24"/>
          <w:szCs w:val="24"/>
        </w:rPr>
        <w:t>(BTV) has been in the forefront of molecular studies for last three decades and now represents one of the best understood viruses at the molecular and structural levels</w:t>
      </w:r>
      <w:r w:rsidRPr="00561279">
        <w:rPr>
          <w:rStyle w:val="citation"/>
          <w:sz w:val="24"/>
          <w:szCs w:val="24"/>
        </w:rPr>
        <w:t xml:space="preserve"> (Roy, 2008).</w:t>
      </w:r>
      <w:r w:rsidRPr="00561279">
        <w:rPr>
          <w:sz w:val="24"/>
          <w:szCs w:val="24"/>
        </w:rPr>
        <w:t xml:space="preserve"> For bluetongue virus (BTV), specific peptides representing its antigenic epitopes and </w:t>
      </w:r>
      <w:proofErr w:type="spellStart"/>
      <w:r w:rsidRPr="00561279">
        <w:rPr>
          <w:sz w:val="24"/>
          <w:szCs w:val="24"/>
        </w:rPr>
        <w:t>ssRNA</w:t>
      </w:r>
      <w:proofErr w:type="spellEnd"/>
      <w:r w:rsidRPr="00561279">
        <w:rPr>
          <w:sz w:val="24"/>
          <w:szCs w:val="24"/>
        </w:rPr>
        <w:t>-binding domains have been utilized to develop unique diagnostics that can differentiate whether an animal is vaccinated with BTV vaccine or infected by BTVs. The gene-silencing tool has been used for RNA inference (</w:t>
      </w:r>
      <w:proofErr w:type="spellStart"/>
      <w:r w:rsidRPr="00561279">
        <w:rPr>
          <w:sz w:val="24"/>
          <w:szCs w:val="24"/>
        </w:rPr>
        <w:t>RNAi</w:t>
      </w:r>
      <w:proofErr w:type="spellEnd"/>
      <w:r w:rsidRPr="00561279">
        <w:rPr>
          <w:sz w:val="24"/>
          <w:szCs w:val="24"/>
        </w:rPr>
        <w:t xml:space="preserve">) for determination of gene functions and as potential therapeutics for Bluetongue disease. The signature amino acid sequences have been identified to develop a peptide-based assay to differentiate a BTV-vaccinated animal from an animal infected with BTV. Other viruses such as </w:t>
      </w:r>
      <w:r w:rsidRPr="00561279">
        <w:rPr>
          <w:i/>
          <w:sz w:val="24"/>
          <w:szCs w:val="24"/>
        </w:rPr>
        <w:t>Rotavirus</w:t>
      </w:r>
      <w:r w:rsidRPr="00561279">
        <w:rPr>
          <w:sz w:val="24"/>
          <w:szCs w:val="24"/>
        </w:rPr>
        <w:t xml:space="preserve"> </w:t>
      </w:r>
      <w:r w:rsidRPr="00561279">
        <w:rPr>
          <w:rStyle w:val="citation"/>
          <w:sz w:val="24"/>
          <w:szCs w:val="24"/>
        </w:rPr>
        <w:t>(</w:t>
      </w:r>
      <w:proofErr w:type="spellStart"/>
      <w:r w:rsidRPr="00561279">
        <w:rPr>
          <w:rStyle w:val="citation"/>
          <w:spacing w:val="10"/>
          <w:sz w:val="24"/>
          <w:szCs w:val="24"/>
        </w:rPr>
        <w:t>Niture</w:t>
      </w:r>
      <w:proofErr w:type="spellEnd"/>
      <w:r w:rsidRPr="00561279">
        <w:rPr>
          <w:rStyle w:val="citation"/>
          <w:spacing w:val="10"/>
          <w:sz w:val="24"/>
          <w:szCs w:val="24"/>
        </w:rPr>
        <w:t xml:space="preserve"> et al., 2008; Minakshi et al., 2004</w:t>
      </w:r>
      <w:r w:rsidRPr="00561279">
        <w:rPr>
          <w:rStyle w:val="citation"/>
          <w:sz w:val="24"/>
          <w:szCs w:val="24"/>
        </w:rPr>
        <w:t>)</w:t>
      </w:r>
      <w:r w:rsidRPr="00561279">
        <w:rPr>
          <w:sz w:val="24"/>
          <w:szCs w:val="24"/>
        </w:rPr>
        <w:t xml:space="preserve">, </w:t>
      </w:r>
      <w:r w:rsidRPr="00561279">
        <w:rPr>
          <w:i/>
          <w:sz w:val="24"/>
          <w:szCs w:val="24"/>
        </w:rPr>
        <w:t>Parvovirus</w:t>
      </w:r>
      <w:r w:rsidRPr="00561279">
        <w:rPr>
          <w:sz w:val="24"/>
          <w:szCs w:val="24"/>
        </w:rPr>
        <w:t xml:space="preserve"> </w:t>
      </w:r>
      <w:r w:rsidRPr="00561279">
        <w:rPr>
          <w:rStyle w:val="citation"/>
          <w:sz w:val="24"/>
          <w:szCs w:val="24"/>
        </w:rPr>
        <w:t>(</w:t>
      </w:r>
      <w:proofErr w:type="spellStart"/>
      <w:r w:rsidRPr="00561279">
        <w:rPr>
          <w:sz w:val="24"/>
          <w:szCs w:val="24"/>
        </w:rPr>
        <w:t>Savi</w:t>
      </w:r>
      <w:proofErr w:type="spellEnd"/>
      <w:r w:rsidRPr="00561279">
        <w:rPr>
          <w:sz w:val="24"/>
          <w:szCs w:val="24"/>
        </w:rPr>
        <w:t xml:space="preserve"> et al., 2009</w:t>
      </w:r>
      <w:r w:rsidRPr="00561279">
        <w:rPr>
          <w:rStyle w:val="citation"/>
          <w:sz w:val="24"/>
          <w:szCs w:val="24"/>
        </w:rPr>
        <w:t>),</w:t>
      </w:r>
      <w:r w:rsidRPr="00561279">
        <w:rPr>
          <w:sz w:val="24"/>
          <w:szCs w:val="24"/>
        </w:rPr>
        <w:t xml:space="preserve"> </w:t>
      </w:r>
      <w:proofErr w:type="spellStart"/>
      <w:r w:rsidRPr="00561279">
        <w:rPr>
          <w:i/>
          <w:sz w:val="24"/>
          <w:szCs w:val="24"/>
        </w:rPr>
        <w:t>Caliciviruses</w:t>
      </w:r>
      <w:proofErr w:type="spellEnd"/>
      <w:r w:rsidRPr="00561279">
        <w:rPr>
          <w:rStyle w:val="Emphasis"/>
          <w:sz w:val="24"/>
          <w:szCs w:val="24"/>
        </w:rPr>
        <w:t xml:space="preserve"> </w:t>
      </w:r>
      <w:r w:rsidRPr="00561279">
        <w:rPr>
          <w:rStyle w:val="citation"/>
          <w:sz w:val="24"/>
          <w:szCs w:val="24"/>
        </w:rPr>
        <w:t>(</w:t>
      </w:r>
      <w:r w:rsidRPr="00561279">
        <w:rPr>
          <w:color w:val="333333"/>
          <w:sz w:val="24"/>
          <w:szCs w:val="24"/>
          <w:shd w:val="clear" w:color="auto" w:fill="FFFFFF"/>
        </w:rPr>
        <w:t>Yu et al., 2013</w:t>
      </w:r>
      <w:r w:rsidRPr="00561279">
        <w:rPr>
          <w:rStyle w:val="citation"/>
          <w:sz w:val="24"/>
          <w:szCs w:val="24"/>
        </w:rPr>
        <w:t>)</w:t>
      </w:r>
      <w:r w:rsidRPr="00561279">
        <w:rPr>
          <w:sz w:val="24"/>
          <w:szCs w:val="24"/>
        </w:rPr>
        <w:t xml:space="preserve">, </w:t>
      </w:r>
      <w:proofErr w:type="spellStart"/>
      <w:r w:rsidRPr="00561279">
        <w:rPr>
          <w:i/>
          <w:sz w:val="24"/>
          <w:szCs w:val="24"/>
        </w:rPr>
        <w:t>Paramyxoviruses</w:t>
      </w:r>
      <w:proofErr w:type="spellEnd"/>
      <w:r w:rsidRPr="00561279">
        <w:rPr>
          <w:rStyle w:val="Emphasis"/>
          <w:sz w:val="24"/>
          <w:szCs w:val="24"/>
        </w:rPr>
        <w:t xml:space="preserve"> </w:t>
      </w:r>
      <w:r w:rsidRPr="00561279">
        <w:rPr>
          <w:rStyle w:val="citation"/>
          <w:sz w:val="24"/>
          <w:szCs w:val="24"/>
        </w:rPr>
        <w:t>(</w:t>
      </w:r>
      <w:proofErr w:type="spellStart"/>
      <w:r w:rsidRPr="00561279">
        <w:rPr>
          <w:sz w:val="24"/>
          <w:szCs w:val="24"/>
        </w:rPr>
        <w:t>Killip</w:t>
      </w:r>
      <w:proofErr w:type="spellEnd"/>
      <w:r w:rsidRPr="00561279">
        <w:rPr>
          <w:sz w:val="24"/>
          <w:szCs w:val="24"/>
        </w:rPr>
        <w:t xml:space="preserve"> et al., </w:t>
      </w:r>
      <w:r w:rsidRPr="00561279">
        <w:rPr>
          <w:sz w:val="24"/>
          <w:szCs w:val="24"/>
        </w:rPr>
        <w:lastRenderedPageBreak/>
        <w:t>2012</w:t>
      </w:r>
      <w:r w:rsidRPr="00561279">
        <w:rPr>
          <w:rStyle w:val="citation"/>
          <w:sz w:val="24"/>
          <w:szCs w:val="24"/>
        </w:rPr>
        <w:t>)</w:t>
      </w:r>
      <w:r w:rsidRPr="00561279">
        <w:rPr>
          <w:sz w:val="24"/>
          <w:szCs w:val="24"/>
        </w:rPr>
        <w:t xml:space="preserve"> and </w:t>
      </w:r>
      <w:r w:rsidRPr="00561279">
        <w:rPr>
          <w:i/>
          <w:sz w:val="24"/>
          <w:szCs w:val="24"/>
        </w:rPr>
        <w:t>Influenza</w:t>
      </w:r>
      <w:r w:rsidRPr="00561279">
        <w:rPr>
          <w:sz w:val="24"/>
          <w:szCs w:val="24"/>
        </w:rPr>
        <w:t xml:space="preserve"> </w:t>
      </w:r>
      <w:r w:rsidRPr="00561279">
        <w:rPr>
          <w:i/>
          <w:sz w:val="24"/>
          <w:szCs w:val="24"/>
        </w:rPr>
        <w:t>virus</w:t>
      </w:r>
      <w:r w:rsidRPr="00561279">
        <w:rPr>
          <w:sz w:val="24"/>
          <w:szCs w:val="24"/>
        </w:rPr>
        <w:t xml:space="preserve"> (</w:t>
      </w:r>
      <w:proofErr w:type="spellStart"/>
      <w:r w:rsidRPr="00561279">
        <w:rPr>
          <w:sz w:val="24"/>
          <w:szCs w:val="24"/>
        </w:rPr>
        <w:t>Tonnessen</w:t>
      </w:r>
      <w:proofErr w:type="spellEnd"/>
      <w:r w:rsidRPr="00561279">
        <w:rPr>
          <w:rStyle w:val="Emphasis"/>
          <w:sz w:val="24"/>
          <w:szCs w:val="24"/>
        </w:rPr>
        <w:t xml:space="preserve"> </w:t>
      </w:r>
      <w:r w:rsidRPr="00561279">
        <w:rPr>
          <w:rStyle w:val="Emphasis"/>
          <w:i w:val="0"/>
          <w:sz w:val="24"/>
          <w:szCs w:val="24"/>
        </w:rPr>
        <w:t>et al., 2013</w:t>
      </w:r>
      <w:r w:rsidRPr="002C2956">
        <w:rPr>
          <w:rStyle w:val="Emphasis"/>
          <w:i w:val="0"/>
          <w:sz w:val="24"/>
          <w:szCs w:val="24"/>
        </w:rPr>
        <w:t>)</w:t>
      </w:r>
      <w:r w:rsidRPr="00561279">
        <w:rPr>
          <w:sz w:val="24"/>
          <w:szCs w:val="24"/>
        </w:rPr>
        <w:t xml:space="preserve"> have also been extensively studied at the molecular level. </w:t>
      </w:r>
      <w:r w:rsidR="00666617">
        <w:rPr>
          <w:sz w:val="24"/>
          <w:szCs w:val="24"/>
        </w:rPr>
        <w:t>Various molecular techniques such as</w:t>
      </w:r>
      <w:r w:rsidRPr="00561279">
        <w:rPr>
          <w:sz w:val="24"/>
          <w:szCs w:val="24"/>
        </w:rPr>
        <w:t xml:space="preserve"> polymerase chain reaction (PCR), probe hybridization </w:t>
      </w:r>
      <w:r w:rsidRPr="00561279">
        <w:rPr>
          <w:rStyle w:val="citation"/>
          <w:sz w:val="24"/>
          <w:szCs w:val="24"/>
        </w:rPr>
        <w:t>(Minakshi et al., 2005)</w:t>
      </w:r>
      <w:r w:rsidR="00666617">
        <w:rPr>
          <w:rStyle w:val="citation"/>
          <w:sz w:val="24"/>
          <w:szCs w:val="24"/>
        </w:rPr>
        <w:t>,</w:t>
      </w:r>
      <w:r w:rsidRPr="00561279">
        <w:rPr>
          <w:sz w:val="24"/>
          <w:szCs w:val="24"/>
        </w:rPr>
        <w:t xml:space="preserve"> microarray</w:t>
      </w:r>
      <w:r w:rsidR="00666617">
        <w:rPr>
          <w:sz w:val="24"/>
          <w:szCs w:val="24"/>
        </w:rPr>
        <w:t>, nucleic acid sequencing etc. have been extensively used for this purpose.</w:t>
      </w:r>
      <w:r w:rsidRPr="00561279">
        <w:rPr>
          <w:sz w:val="24"/>
          <w:szCs w:val="24"/>
        </w:rPr>
        <w:t xml:space="preserve"> The integration of amplification and signal detection systems, including online real-time devices, have increased speed and sensitivity and greatly facilitated the quantification of target nucleic acids. They have also allowed for sequence characterization using melting or hybridization curves. In this paper molecular techniques for detection of viruses are reviewed and the potential for their application are discussed. The application of new techniques as a routine tool in a diagnostic laboratory is an area where relevant literature is not available and this may contribute to the acceptance of these methods.</w:t>
      </w:r>
    </w:p>
    <w:p w:rsidR="00CF2A24" w:rsidRPr="006949BD" w:rsidRDefault="00CF2A24" w:rsidP="00CF2A24">
      <w:pPr>
        <w:pStyle w:val="Heading1"/>
        <w:numPr>
          <w:ilvl w:val="0"/>
          <w:numId w:val="0"/>
        </w:numPr>
        <w:tabs>
          <w:tab w:val="clear" w:pos="216"/>
        </w:tabs>
        <w:spacing w:before="100" w:beforeAutospacing="1" w:after="100" w:afterAutospacing="1" w:line="276" w:lineRule="auto"/>
        <w:ind w:left="216" w:hanging="216"/>
        <w:jc w:val="both"/>
        <w:rPr>
          <w:b/>
          <w:bCs/>
          <w:sz w:val="24"/>
          <w:szCs w:val="24"/>
        </w:rPr>
      </w:pPr>
      <w:r w:rsidRPr="006949BD">
        <w:rPr>
          <w:b/>
          <w:bCs/>
          <w:sz w:val="24"/>
          <w:szCs w:val="24"/>
        </w:rPr>
        <w:t>I. CONVENTIONAL APPROACHES</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 xml:space="preserve">Viral disease diagnosis  include the isolation of live virus in cell cultures or embryonated eggs, the detection of viral proteins (antigens) and the detection of viral genome fragments (viral nucleic acid). In general, </w:t>
      </w:r>
      <w:r w:rsidR="00B82420">
        <w:rPr>
          <w:sz w:val="24"/>
          <w:szCs w:val="24"/>
        </w:rPr>
        <w:t xml:space="preserve">various </w:t>
      </w:r>
      <w:r w:rsidRPr="00561279">
        <w:rPr>
          <w:sz w:val="24"/>
          <w:szCs w:val="24"/>
        </w:rPr>
        <w:t xml:space="preserve">viral disease diagnostic tests can be grouped into 3 categories: </w:t>
      </w:r>
    </w:p>
    <w:p w:rsidR="00CF2A24" w:rsidRPr="006949BD" w:rsidRDefault="00CF2A24" w:rsidP="00CF2A24">
      <w:pPr>
        <w:pStyle w:val="Heading2"/>
        <w:numPr>
          <w:ilvl w:val="0"/>
          <w:numId w:val="0"/>
        </w:numPr>
        <w:spacing w:before="100" w:beforeAutospacing="1" w:after="100" w:afterAutospacing="1" w:line="276" w:lineRule="auto"/>
        <w:ind w:left="288" w:hanging="288"/>
        <w:rPr>
          <w:b/>
          <w:i w:val="0"/>
          <w:iCs w:val="0"/>
          <w:sz w:val="24"/>
          <w:szCs w:val="24"/>
        </w:rPr>
      </w:pPr>
      <w:r w:rsidRPr="00561279">
        <w:rPr>
          <w:i w:val="0"/>
          <w:iCs w:val="0"/>
          <w:sz w:val="24"/>
          <w:szCs w:val="24"/>
        </w:rPr>
        <w:t xml:space="preserve"> </w:t>
      </w:r>
      <w:r w:rsidRPr="006949BD">
        <w:rPr>
          <w:b/>
          <w:i w:val="0"/>
          <w:iCs w:val="0"/>
          <w:sz w:val="24"/>
          <w:szCs w:val="24"/>
        </w:rPr>
        <w:t xml:space="preserve">1. </w:t>
      </w:r>
      <w:r w:rsidRPr="006949BD">
        <w:rPr>
          <w:rFonts w:eastAsia="Times New Roman"/>
          <w:b/>
          <w:i w:val="0"/>
          <w:iCs w:val="0"/>
          <w:sz w:val="24"/>
          <w:szCs w:val="24"/>
          <w:lang w:eastAsia="en-IN"/>
        </w:rPr>
        <w:t>Direct Examination of  Specimen</w:t>
      </w:r>
    </w:p>
    <w:p w:rsidR="00CF2A24" w:rsidRPr="00561279" w:rsidRDefault="00CF2A24" w:rsidP="00CF2A24">
      <w:pPr>
        <w:spacing w:before="100" w:beforeAutospacing="1" w:after="100" w:afterAutospacing="1" w:line="276" w:lineRule="auto"/>
        <w:jc w:val="both"/>
        <w:rPr>
          <w:rFonts w:eastAsia="Times New Roman"/>
          <w:bCs/>
          <w:sz w:val="24"/>
          <w:szCs w:val="24"/>
          <w:lang w:eastAsia="en-IN"/>
        </w:rPr>
      </w:pPr>
      <w:r w:rsidRPr="00561279">
        <w:rPr>
          <w:sz w:val="24"/>
          <w:szCs w:val="24"/>
        </w:rPr>
        <w:t xml:space="preserve">Direct examination methods are often called rapid diagnostic methods because they can usually give result either within the same or the next day. This is extremely useful in cases when the clinical management of the patient depends greatly on the rapid availability of laboratory results. </w:t>
      </w:r>
    </w:p>
    <w:p w:rsidR="00CF2A24" w:rsidRPr="006949BD" w:rsidRDefault="00CF2A24" w:rsidP="00CF2A24">
      <w:pPr>
        <w:spacing w:before="100" w:beforeAutospacing="1" w:after="100" w:afterAutospacing="1" w:line="276" w:lineRule="auto"/>
        <w:jc w:val="both"/>
        <w:rPr>
          <w:b/>
          <w:bCs/>
          <w:iCs/>
          <w:sz w:val="24"/>
          <w:szCs w:val="24"/>
        </w:rPr>
      </w:pPr>
      <w:r w:rsidRPr="006949BD">
        <w:rPr>
          <w:b/>
          <w:bCs/>
          <w:iCs/>
          <w:sz w:val="24"/>
          <w:szCs w:val="24"/>
        </w:rPr>
        <w:t xml:space="preserve">a. Antigen Detection </w:t>
      </w:r>
    </w:p>
    <w:p w:rsidR="00CF2A24" w:rsidRPr="00561279" w:rsidRDefault="00CF2A24" w:rsidP="00CF2A24">
      <w:pPr>
        <w:spacing w:before="100" w:beforeAutospacing="1" w:after="100" w:afterAutospacing="1" w:line="276" w:lineRule="auto"/>
        <w:jc w:val="both"/>
        <w:rPr>
          <w:i/>
          <w:sz w:val="24"/>
          <w:szCs w:val="24"/>
        </w:rPr>
      </w:pPr>
      <w:r w:rsidRPr="00561279">
        <w:rPr>
          <w:sz w:val="24"/>
          <w:szCs w:val="24"/>
        </w:rPr>
        <w:t xml:space="preserve">Virus isolation is the most effective, standard method and it must be compared with other methods available. </w:t>
      </w:r>
      <w:r w:rsidR="00B53021" w:rsidRPr="00561279">
        <w:rPr>
          <w:sz w:val="24"/>
          <w:szCs w:val="24"/>
        </w:rPr>
        <w:t>Growth of viruses w</w:t>
      </w:r>
      <w:r w:rsidR="00B53021">
        <w:rPr>
          <w:sz w:val="24"/>
          <w:szCs w:val="24"/>
        </w:rPr>
        <w:t>as</w:t>
      </w:r>
      <w:r w:rsidRPr="00561279">
        <w:rPr>
          <w:sz w:val="24"/>
          <w:szCs w:val="24"/>
        </w:rPr>
        <w:t xml:space="preserve"> restricted </w:t>
      </w:r>
      <w:r w:rsidR="005D4EAE">
        <w:rPr>
          <w:sz w:val="24"/>
          <w:szCs w:val="24"/>
        </w:rPr>
        <w:t xml:space="preserve">initially </w:t>
      </w:r>
      <w:r w:rsidRPr="00561279">
        <w:rPr>
          <w:sz w:val="24"/>
          <w:szCs w:val="24"/>
        </w:rPr>
        <w:t xml:space="preserve">to animal inoculation. Initially sheep inoculation was used as the diagnostic method for BTV. Subsequently developing chicken embryo was used for isolation of the virus. </w:t>
      </w:r>
      <w:r w:rsidR="00357BDD">
        <w:rPr>
          <w:sz w:val="24"/>
          <w:szCs w:val="24"/>
        </w:rPr>
        <w:t>Now days</w:t>
      </w:r>
      <w:r w:rsidR="005D4EAE">
        <w:rPr>
          <w:sz w:val="24"/>
          <w:szCs w:val="24"/>
        </w:rPr>
        <w:t>, cell c</w:t>
      </w:r>
      <w:r w:rsidRPr="00561279">
        <w:rPr>
          <w:sz w:val="24"/>
          <w:szCs w:val="24"/>
        </w:rPr>
        <w:t>ulture</w:t>
      </w:r>
      <w:r w:rsidR="00C81568">
        <w:rPr>
          <w:sz w:val="24"/>
          <w:szCs w:val="24"/>
        </w:rPr>
        <w:t xml:space="preserve"> is </w:t>
      </w:r>
      <w:r w:rsidR="00B14343">
        <w:rPr>
          <w:sz w:val="24"/>
          <w:szCs w:val="24"/>
        </w:rPr>
        <w:t xml:space="preserve">mainly used for </w:t>
      </w:r>
      <w:r w:rsidR="00C81568">
        <w:rPr>
          <w:sz w:val="24"/>
          <w:szCs w:val="24"/>
        </w:rPr>
        <w:t>production of</w:t>
      </w:r>
      <w:r w:rsidR="00506230">
        <w:rPr>
          <w:sz w:val="24"/>
          <w:szCs w:val="24"/>
        </w:rPr>
        <w:t xml:space="preserve"> live virus. L</w:t>
      </w:r>
      <w:r w:rsidRPr="00561279">
        <w:rPr>
          <w:sz w:val="24"/>
          <w:szCs w:val="24"/>
        </w:rPr>
        <w:t>arge quantities of virus</w:t>
      </w:r>
      <w:r w:rsidR="00211059">
        <w:rPr>
          <w:sz w:val="24"/>
          <w:szCs w:val="24"/>
        </w:rPr>
        <w:t>es are</w:t>
      </w:r>
      <w:r w:rsidRPr="00561279">
        <w:rPr>
          <w:sz w:val="24"/>
          <w:szCs w:val="24"/>
        </w:rPr>
        <w:t xml:space="preserve"> grown in </w:t>
      </w:r>
      <w:r w:rsidR="00211059">
        <w:rPr>
          <w:sz w:val="24"/>
          <w:szCs w:val="24"/>
        </w:rPr>
        <w:t xml:space="preserve">various cell lines </w:t>
      </w:r>
      <w:r w:rsidR="00451342">
        <w:rPr>
          <w:sz w:val="24"/>
          <w:szCs w:val="24"/>
        </w:rPr>
        <w:t>(</w:t>
      </w:r>
      <w:proofErr w:type="spellStart"/>
      <w:r w:rsidR="00C556A0">
        <w:rPr>
          <w:sz w:val="24"/>
          <w:szCs w:val="24"/>
        </w:rPr>
        <w:t>eg</w:t>
      </w:r>
      <w:proofErr w:type="spellEnd"/>
      <w:r w:rsidR="00451342">
        <w:rPr>
          <w:sz w:val="24"/>
          <w:szCs w:val="24"/>
        </w:rPr>
        <w:t xml:space="preserve"> BTV in BHK-21 </w:t>
      </w:r>
      <w:r w:rsidR="00C556A0">
        <w:rPr>
          <w:sz w:val="24"/>
          <w:szCs w:val="24"/>
        </w:rPr>
        <w:t>or Vero cell line</w:t>
      </w:r>
      <w:r w:rsidR="00451342">
        <w:rPr>
          <w:sz w:val="24"/>
          <w:szCs w:val="24"/>
        </w:rPr>
        <w:t xml:space="preserve">) </w:t>
      </w:r>
      <w:r w:rsidRPr="00561279">
        <w:rPr>
          <w:sz w:val="24"/>
          <w:szCs w:val="24"/>
        </w:rPr>
        <w:t>to produce diagnostic antigens (Fig.1).</w:t>
      </w:r>
    </w:p>
    <w:p w:rsidR="00CF2A24" w:rsidRPr="006949BD" w:rsidRDefault="0092354B" w:rsidP="00CF2A24">
      <w:pPr>
        <w:spacing w:before="100" w:beforeAutospacing="1" w:after="100" w:afterAutospacing="1" w:line="276" w:lineRule="auto"/>
        <w:jc w:val="both"/>
        <w:rPr>
          <w:rFonts w:eastAsia="Times New Roman"/>
          <w:b/>
          <w:iCs/>
          <w:sz w:val="24"/>
          <w:szCs w:val="24"/>
          <w:lang w:eastAsia="en-IN"/>
        </w:rPr>
      </w:pPr>
      <w:r>
        <w:rPr>
          <w:rFonts w:eastAsia="Times New Roman"/>
          <w:b/>
          <w:iCs/>
          <w:sz w:val="24"/>
          <w:szCs w:val="24"/>
          <w:lang w:eastAsia="en-IN"/>
        </w:rPr>
        <w:t>b. Light/Electron microscopy (EM)</w:t>
      </w:r>
    </w:p>
    <w:p w:rsidR="00CF2A24" w:rsidRPr="00561279" w:rsidRDefault="00CF2A24" w:rsidP="00CF2A24">
      <w:pPr>
        <w:spacing w:before="100" w:beforeAutospacing="1" w:after="100" w:afterAutospacing="1" w:line="276" w:lineRule="auto"/>
        <w:jc w:val="both"/>
        <w:rPr>
          <w:rFonts w:eastAsia="Times New Roman"/>
          <w:sz w:val="24"/>
          <w:szCs w:val="24"/>
          <w:lang w:eastAsia="en-IN"/>
        </w:rPr>
      </w:pPr>
      <w:r w:rsidRPr="00561279">
        <w:rPr>
          <w:rFonts w:eastAsia="Times New Roman"/>
          <w:sz w:val="24"/>
          <w:szCs w:val="24"/>
          <w:lang w:eastAsia="en-IN"/>
        </w:rPr>
        <w:t xml:space="preserve">Replicating virus often produce histological changes in infected cells which can be observed by light microscopy. Low sensitivity is the biggest limitation of this assay as a diagnostic tool. A skilled </w:t>
      </w:r>
      <w:proofErr w:type="spellStart"/>
      <w:r w:rsidRPr="00561279">
        <w:rPr>
          <w:rFonts w:eastAsia="Times New Roman"/>
          <w:sz w:val="24"/>
          <w:szCs w:val="24"/>
          <w:lang w:eastAsia="en-IN"/>
        </w:rPr>
        <w:t>microscopist</w:t>
      </w:r>
      <w:proofErr w:type="spellEnd"/>
      <w:r w:rsidRPr="00561279">
        <w:rPr>
          <w:rFonts w:eastAsia="Times New Roman"/>
          <w:sz w:val="24"/>
          <w:szCs w:val="24"/>
          <w:lang w:eastAsia="en-IN"/>
        </w:rPr>
        <w:t xml:space="preserve"> is needed to detect virus when the specimen contains fewer than 10</w:t>
      </w:r>
      <w:r w:rsidRPr="00561279">
        <w:rPr>
          <w:rFonts w:eastAsia="Times New Roman"/>
          <w:sz w:val="24"/>
          <w:szCs w:val="24"/>
          <w:vertAlign w:val="superscript"/>
          <w:lang w:eastAsia="en-IN"/>
        </w:rPr>
        <w:t>7</w:t>
      </w:r>
      <w:r w:rsidRPr="00561279">
        <w:rPr>
          <w:rFonts w:eastAsia="Times New Roman"/>
          <w:sz w:val="24"/>
          <w:szCs w:val="24"/>
          <w:lang w:eastAsia="en-IN"/>
        </w:rPr>
        <w:t xml:space="preserve"> virions per milliliter. Specimens are stained negatively with phosphor-tungstate, or sometimes </w:t>
      </w:r>
      <w:proofErr w:type="spellStart"/>
      <w:r w:rsidRPr="00561279">
        <w:rPr>
          <w:rFonts w:eastAsia="Times New Roman"/>
          <w:sz w:val="24"/>
          <w:szCs w:val="24"/>
          <w:lang w:eastAsia="en-IN"/>
        </w:rPr>
        <w:t>uranyl</w:t>
      </w:r>
      <w:proofErr w:type="spellEnd"/>
      <w:r w:rsidRPr="00561279">
        <w:rPr>
          <w:rFonts w:eastAsia="Times New Roman"/>
          <w:sz w:val="24"/>
          <w:szCs w:val="24"/>
          <w:lang w:eastAsia="en-IN"/>
        </w:rPr>
        <w:t xml:space="preserve"> acetate and then scanned by electron microscopy (</w:t>
      </w:r>
      <w:r w:rsidRPr="00561279">
        <w:rPr>
          <w:rFonts w:eastAsia="Times New Roman"/>
          <w:bCs/>
          <w:sz w:val="24"/>
          <w:szCs w:val="24"/>
          <w:lang w:eastAsia="en-IN"/>
        </w:rPr>
        <w:t xml:space="preserve">Fig. 2). </w:t>
      </w:r>
      <w:r w:rsidRPr="00561279">
        <w:rPr>
          <w:rFonts w:eastAsia="Times New Roman"/>
          <w:sz w:val="24"/>
          <w:szCs w:val="24"/>
          <w:lang w:eastAsia="en-IN"/>
        </w:rPr>
        <w:t xml:space="preserve">Modification in the basic EM was made by using </w:t>
      </w:r>
      <w:proofErr w:type="spellStart"/>
      <w:r w:rsidRPr="00561279">
        <w:rPr>
          <w:rFonts w:eastAsia="Times New Roman"/>
          <w:sz w:val="24"/>
          <w:szCs w:val="24"/>
          <w:lang w:eastAsia="en-IN"/>
        </w:rPr>
        <w:t>immunogold</w:t>
      </w:r>
      <w:proofErr w:type="spellEnd"/>
      <w:r w:rsidRPr="00561279">
        <w:rPr>
          <w:rFonts w:eastAsia="Times New Roman"/>
          <w:sz w:val="24"/>
          <w:szCs w:val="24"/>
          <w:lang w:eastAsia="en-IN"/>
        </w:rPr>
        <w:t xml:space="preserve"> electron microscopy by adding specific antibodies labeled with gold </w:t>
      </w:r>
      <w:r w:rsidRPr="00561279">
        <w:rPr>
          <w:rStyle w:val="citation"/>
          <w:sz w:val="24"/>
          <w:szCs w:val="24"/>
        </w:rPr>
        <w:t>(</w:t>
      </w:r>
      <w:r w:rsidRPr="00561279">
        <w:rPr>
          <w:sz w:val="24"/>
          <w:szCs w:val="24"/>
          <w:lang w:val="pt-BR"/>
        </w:rPr>
        <w:t>Prasad et al., 1993</w:t>
      </w:r>
      <w:r w:rsidRPr="00561279">
        <w:rPr>
          <w:rStyle w:val="citation"/>
          <w:sz w:val="24"/>
          <w:szCs w:val="24"/>
        </w:rPr>
        <w:t>).</w:t>
      </w:r>
    </w:p>
    <w:p w:rsidR="00CF2A24" w:rsidRPr="006949BD" w:rsidRDefault="00CF2A24" w:rsidP="00F10CCA">
      <w:pPr>
        <w:pStyle w:val="Heading2"/>
        <w:numPr>
          <w:ilvl w:val="0"/>
          <w:numId w:val="0"/>
        </w:numPr>
        <w:spacing w:before="100" w:beforeAutospacing="1" w:line="276" w:lineRule="auto"/>
        <w:rPr>
          <w:b/>
          <w:i w:val="0"/>
          <w:iCs w:val="0"/>
          <w:sz w:val="24"/>
          <w:szCs w:val="24"/>
        </w:rPr>
      </w:pPr>
      <w:r w:rsidRPr="006949BD">
        <w:rPr>
          <w:b/>
          <w:i w:val="0"/>
          <w:iCs w:val="0"/>
          <w:sz w:val="24"/>
          <w:szCs w:val="24"/>
        </w:rPr>
        <w:lastRenderedPageBreak/>
        <w:t>2. Indirect Examination/Virus Isolation</w:t>
      </w:r>
    </w:p>
    <w:p w:rsidR="00CF2A24" w:rsidRPr="00561279" w:rsidRDefault="00CF2A24" w:rsidP="00C24D8B">
      <w:pPr>
        <w:spacing w:after="60" w:line="276" w:lineRule="auto"/>
        <w:jc w:val="both"/>
        <w:rPr>
          <w:rFonts w:eastAsia="Times New Roman"/>
          <w:sz w:val="24"/>
          <w:szCs w:val="24"/>
          <w:lang w:eastAsia="en-IN"/>
        </w:rPr>
      </w:pPr>
      <w:r w:rsidRPr="00561279">
        <w:rPr>
          <w:rFonts w:eastAsia="Times New Roman"/>
          <w:sz w:val="24"/>
          <w:szCs w:val="24"/>
          <w:lang w:eastAsia="en-IN"/>
        </w:rPr>
        <w:t xml:space="preserve">Virus isolation is the ‘gold standard’ method for many viruses that can be grown </w:t>
      </w:r>
      <w:r w:rsidRPr="00561279">
        <w:rPr>
          <w:rFonts w:eastAsia="Times New Roman"/>
          <w:i/>
          <w:iCs/>
          <w:sz w:val="24"/>
          <w:szCs w:val="24"/>
          <w:lang w:eastAsia="en-IN"/>
        </w:rPr>
        <w:t>in vitro</w:t>
      </w:r>
      <w:r w:rsidRPr="00561279">
        <w:rPr>
          <w:rFonts w:eastAsia="Times New Roman"/>
          <w:sz w:val="24"/>
          <w:szCs w:val="24"/>
          <w:lang w:eastAsia="en-IN"/>
        </w:rPr>
        <w:t>, including FMD virus (FMDV), Bluetongue virus (BTV) and Avian influenza virus (AIV). Although time consuming, the method is very sensitive, and offers the maximum opportunity for subsequent viral characterization. Cell cultures, eggs, and animals may be used for virus isolation. Various cell lines have been established such as BHK-21 for BTV and MA104 for rotaviruses. CRFK and MDCK are some of the effective cell lines for canine, feline parvovirus and bovine herpes virus respectively. Viruses can be adapted by different cell lines which include primary (Monkey Kidney), s</w:t>
      </w:r>
      <w:r w:rsidRPr="00561279">
        <w:rPr>
          <w:rFonts w:eastAsia="Times New Roman"/>
          <w:bCs/>
          <w:sz w:val="24"/>
          <w:szCs w:val="24"/>
          <w:lang w:eastAsia="en-IN"/>
        </w:rPr>
        <w:t>emi-continuous cells (</w:t>
      </w:r>
      <w:r w:rsidRPr="00561279">
        <w:rPr>
          <w:rFonts w:eastAsia="Times New Roman"/>
          <w:sz w:val="24"/>
          <w:szCs w:val="24"/>
          <w:lang w:eastAsia="en-IN"/>
        </w:rPr>
        <w:t>Human embryonic kidney and skin fibroblasts) and continuous cultures (</w:t>
      </w:r>
      <w:proofErr w:type="spellStart"/>
      <w:r w:rsidRPr="00561279">
        <w:rPr>
          <w:rFonts w:eastAsia="Times New Roman"/>
          <w:sz w:val="24"/>
          <w:szCs w:val="24"/>
          <w:lang w:eastAsia="en-IN"/>
        </w:rPr>
        <w:t>HeLa</w:t>
      </w:r>
      <w:proofErr w:type="spellEnd"/>
      <w:r w:rsidRPr="00561279">
        <w:rPr>
          <w:rFonts w:eastAsia="Times New Roman"/>
          <w:sz w:val="24"/>
          <w:szCs w:val="24"/>
          <w:lang w:eastAsia="en-IN"/>
        </w:rPr>
        <w:t xml:space="preserve">, Vero, LLC-MK2, BGM). Confirmation of the identity of the virus may be carried out using neutralization, immunofluorescence, or molecular tests </w:t>
      </w:r>
      <w:r w:rsidRPr="00561279">
        <w:rPr>
          <w:rStyle w:val="citation"/>
          <w:sz w:val="24"/>
          <w:szCs w:val="24"/>
        </w:rPr>
        <w:t>(</w:t>
      </w:r>
      <w:r w:rsidRPr="00561279">
        <w:rPr>
          <w:sz w:val="24"/>
          <w:szCs w:val="24"/>
        </w:rPr>
        <w:t xml:space="preserve">Mishra et al., 2002; </w:t>
      </w:r>
      <w:r w:rsidRPr="00561279">
        <w:rPr>
          <w:sz w:val="24"/>
          <w:szCs w:val="24"/>
          <w:lang w:val="en-GB"/>
        </w:rPr>
        <w:t>Prasad and Minakshi, 1999</w:t>
      </w:r>
      <w:r w:rsidRPr="00561279">
        <w:rPr>
          <w:rStyle w:val="citation"/>
          <w:sz w:val="24"/>
          <w:szCs w:val="24"/>
        </w:rPr>
        <w:t>)</w:t>
      </w:r>
      <w:r w:rsidRPr="00561279">
        <w:rPr>
          <w:rFonts w:eastAsia="Times New Roman"/>
          <w:sz w:val="24"/>
          <w:szCs w:val="24"/>
          <w:lang w:eastAsia="en-IN"/>
        </w:rPr>
        <w:t>.</w:t>
      </w:r>
    </w:p>
    <w:p w:rsidR="00CF2A24" w:rsidRPr="006949BD" w:rsidRDefault="00CF2A24" w:rsidP="00C24D8B">
      <w:pPr>
        <w:pStyle w:val="Heading2"/>
        <w:numPr>
          <w:ilvl w:val="0"/>
          <w:numId w:val="0"/>
        </w:numPr>
        <w:spacing w:before="0" w:line="276" w:lineRule="auto"/>
        <w:rPr>
          <w:b/>
          <w:bCs/>
          <w:i w:val="0"/>
          <w:iCs w:val="0"/>
          <w:sz w:val="24"/>
          <w:szCs w:val="24"/>
        </w:rPr>
      </w:pPr>
      <w:r w:rsidRPr="006949BD">
        <w:rPr>
          <w:b/>
          <w:bCs/>
          <w:i w:val="0"/>
          <w:iCs w:val="0"/>
          <w:sz w:val="24"/>
          <w:szCs w:val="24"/>
        </w:rPr>
        <w:t>3. Serological examinations</w:t>
      </w:r>
    </w:p>
    <w:p w:rsidR="00CF2A24" w:rsidRPr="00561279" w:rsidRDefault="00CF2A24" w:rsidP="00CF2A24">
      <w:pPr>
        <w:spacing w:after="100" w:afterAutospacing="1" w:line="276" w:lineRule="auto"/>
        <w:jc w:val="both"/>
        <w:rPr>
          <w:rFonts w:eastAsia="Times New Roman"/>
          <w:sz w:val="24"/>
          <w:szCs w:val="24"/>
        </w:rPr>
      </w:pPr>
      <w:r w:rsidRPr="00561279">
        <w:rPr>
          <w:sz w:val="24"/>
          <w:szCs w:val="24"/>
        </w:rPr>
        <w:t>Many different types of serological tests are available for diagnosis of viral antigen or antibodies. With some assays such as enzyme immun</w:t>
      </w:r>
      <w:r w:rsidR="00662941">
        <w:rPr>
          <w:sz w:val="24"/>
          <w:szCs w:val="24"/>
        </w:rPr>
        <w:t>o</w:t>
      </w:r>
      <w:r w:rsidRPr="00561279">
        <w:rPr>
          <w:sz w:val="24"/>
          <w:szCs w:val="24"/>
        </w:rPr>
        <w:t xml:space="preserve"> assay (EIA) and </w:t>
      </w:r>
      <w:r w:rsidR="00953790">
        <w:rPr>
          <w:sz w:val="24"/>
          <w:szCs w:val="24"/>
        </w:rPr>
        <w:t>r</w:t>
      </w:r>
      <w:r w:rsidRPr="00561279">
        <w:rPr>
          <w:sz w:val="24"/>
          <w:szCs w:val="24"/>
        </w:rPr>
        <w:t>adio immun</w:t>
      </w:r>
      <w:r w:rsidR="00662941">
        <w:rPr>
          <w:sz w:val="24"/>
          <w:szCs w:val="24"/>
        </w:rPr>
        <w:t>o</w:t>
      </w:r>
      <w:r w:rsidRPr="00561279">
        <w:rPr>
          <w:sz w:val="24"/>
          <w:szCs w:val="24"/>
        </w:rPr>
        <w:t xml:space="preserve"> assay (RIA), one can look specifically for </w:t>
      </w:r>
      <w:proofErr w:type="spellStart"/>
      <w:r w:rsidRPr="00561279">
        <w:rPr>
          <w:sz w:val="24"/>
          <w:szCs w:val="24"/>
        </w:rPr>
        <w:t>IgM</w:t>
      </w:r>
      <w:proofErr w:type="spellEnd"/>
      <w:r w:rsidRPr="00561279">
        <w:rPr>
          <w:sz w:val="24"/>
          <w:szCs w:val="24"/>
        </w:rPr>
        <w:t xml:space="preserve"> or </w:t>
      </w:r>
      <w:proofErr w:type="spellStart"/>
      <w:r w:rsidRPr="00561279">
        <w:rPr>
          <w:sz w:val="24"/>
          <w:szCs w:val="24"/>
        </w:rPr>
        <w:t>IgG</w:t>
      </w:r>
      <w:proofErr w:type="spellEnd"/>
      <w:r w:rsidRPr="00561279">
        <w:rPr>
          <w:sz w:val="24"/>
          <w:szCs w:val="24"/>
        </w:rPr>
        <w:t xml:space="preserve">, whereas with other assays such as compliment fixation test (CFT) and </w:t>
      </w:r>
      <w:r w:rsidRPr="00561279">
        <w:rPr>
          <w:rFonts w:eastAsia="Times New Roman"/>
          <w:bCs/>
          <w:sz w:val="24"/>
          <w:szCs w:val="24"/>
        </w:rPr>
        <w:t>Haemagglutination Inhibition</w:t>
      </w:r>
      <w:r w:rsidRPr="00561279">
        <w:rPr>
          <w:sz w:val="24"/>
          <w:szCs w:val="24"/>
        </w:rPr>
        <w:t xml:space="preserve"> (HAI), one can only detect total antibody, which comprises mainly </w:t>
      </w:r>
      <w:proofErr w:type="spellStart"/>
      <w:r w:rsidRPr="00561279">
        <w:rPr>
          <w:sz w:val="24"/>
          <w:szCs w:val="24"/>
        </w:rPr>
        <w:t>IgG</w:t>
      </w:r>
      <w:proofErr w:type="spellEnd"/>
      <w:r w:rsidRPr="00561279">
        <w:rPr>
          <w:sz w:val="24"/>
          <w:szCs w:val="24"/>
        </w:rPr>
        <w:t xml:space="preserve">. Some of these tests are much more sensitive than others. Newer techniques such as EIAs offer better sensitivity, specificity and reproducibility than classical techniques such as CFT and HAI. Certain </w:t>
      </w:r>
      <w:r w:rsidRPr="00561279">
        <w:rPr>
          <w:rFonts w:eastAsia="Times New Roman"/>
          <w:sz w:val="24"/>
          <w:szCs w:val="24"/>
        </w:rPr>
        <w:t xml:space="preserve">viruses such as influenza, </w:t>
      </w:r>
      <w:proofErr w:type="spellStart"/>
      <w:r w:rsidRPr="00561279">
        <w:rPr>
          <w:rFonts w:eastAsia="Times New Roman"/>
          <w:sz w:val="24"/>
          <w:szCs w:val="24"/>
        </w:rPr>
        <w:t>parainfluenza</w:t>
      </w:r>
      <w:proofErr w:type="spellEnd"/>
      <w:r w:rsidRPr="00561279">
        <w:rPr>
          <w:rFonts w:eastAsia="Times New Roman"/>
          <w:sz w:val="24"/>
          <w:szCs w:val="24"/>
        </w:rPr>
        <w:t xml:space="preserve">, adenoviruses, rubella, </w:t>
      </w:r>
      <w:proofErr w:type="spellStart"/>
      <w:r w:rsidRPr="00561279">
        <w:rPr>
          <w:rFonts w:eastAsia="Times New Roman"/>
          <w:sz w:val="24"/>
          <w:szCs w:val="24"/>
        </w:rPr>
        <w:t>flaviviruses</w:t>
      </w:r>
      <w:proofErr w:type="spellEnd"/>
      <w:r w:rsidRPr="00561279">
        <w:rPr>
          <w:rFonts w:eastAsia="Times New Roman"/>
          <w:sz w:val="24"/>
          <w:szCs w:val="24"/>
        </w:rPr>
        <w:t xml:space="preserve"> etc have been detected </w:t>
      </w:r>
      <w:r w:rsidRPr="00561279">
        <w:rPr>
          <w:rFonts w:eastAsia="Times New Roman"/>
          <w:bCs/>
          <w:sz w:val="24"/>
          <w:szCs w:val="24"/>
        </w:rPr>
        <w:t>using Haemagglutination Inhibition (HAI) test.</w:t>
      </w:r>
      <w:r w:rsidRPr="00561279">
        <w:rPr>
          <w:rFonts w:eastAsia="Times New Roman"/>
          <w:sz w:val="24"/>
          <w:szCs w:val="24"/>
        </w:rPr>
        <w:t xml:space="preserve"> </w:t>
      </w:r>
      <w:r w:rsidR="00161879" w:rsidRPr="00561279">
        <w:rPr>
          <w:sz w:val="24"/>
          <w:szCs w:val="24"/>
        </w:rPr>
        <w:t xml:space="preserve">Agar gel </w:t>
      </w:r>
      <w:proofErr w:type="spellStart"/>
      <w:r w:rsidR="00161879" w:rsidRPr="00561279">
        <w:rPr>
          <w:sz w:val="24"/>
          <w:szCs w:val="24"/>
        </w:rPr>
        <w:t>immunodiffusion</w:t>
      </w:r>
      <w:proofErr w:type="spellEnd"/>
      <w:r w:rsidR="00161879" w:rsidRPr="00561279">
        <w:rPr>
          <w:sz w:val="24"/>
          <w:szCs w:val="24"/>
        </w:rPr>
        <w:t xml:space="preserve"> (</w:t>
      </w:r>
      <w:r w:rsidR="00161879" w:rsidRPr="00561279">
        <w:rPr>
          <w:bCs/>
          <w:sz w:val="24"/>
          <w:szCs w:val="24"/>
        </w:rPr>
        <w:t xml:space="preserve">AGID) </w:t>
      </w:r>
      <w:r w:rsidR="00161879" w:rsidRPr="00561279">
        <w:rPr>
          <w:sz w:val="24"/>
          <w:szCs w:val="24"/>
        </w:rPr>
        <w:t>test and dot immunobinding assay were employed for canine distemper virus (CDV) and feline parvovirus (FPV) antibody detection in Asiatic lions.</w:t>
      </w:r>
    </w:p>
    <w:p w:rsidR="00CF2A24" w:rsidRPr="006949BD" w:rsidRDefault="00CF2A24" w:rsidP="00CF2A24">
      <w:pPr>
        <w:spacing w:before="100" w:beforeAutospacing="1" w:after="100" w:afterAutospacing="1" w:line="276" w:lineRule="auto"/>
        <w:ind w:left="142" w:hanging="142"/>
        <w:jc w:val="both"/>
        <w:rPr>
          <w:b/>
          <w:bCs/>
          <w:iCs/>
          <w:sz w:val="24"/>
          <w:szCs w:val="24"/>
        </w:rPr>
      </w:pPr>
      <w:r w:rsidRPr="00B375A1">
        <w:rPr>
          <w:b/>
          <w:bCs/>
          <w:iCs/>
          <w:sz w:val="24"/>
          <w:szCs w:val="24"/>
        </w:rPr>
        <w:t xml:space="preserve">a) </w:t>
      </w:r>
      <w:r w:rsidR="00702CE5" w:rsidRPr="00B375A1">
        <w:rPr>
          <w:b/>
          <w:bCs/>
          <w:iCs/>
          <w:sz w:val="24"/>
          <w:szCs w:val="24"/>
        </w:rPr>
        <w:t>Enzyme linked immunosorb</w:t>
      </w:r>
      <w:r w:rsidR="00051BBE" w:rsidRPr="00B375A1">
        <w:rPr>
          <w:b/>
          <w:bCs/>
          <w:iCs/>
          <w:sz w:val="24"/>
          <w:szCs w:val="24"/>
        </w:rPr>
        <w:t>e</w:t>
      </w:r>
      <w:r w:rsidR="00702CE5" w:rsidRPr="00B375A1">
        <w:rPr>
          <w:b/>
          <w:bCs/>
          <w:iCs/>
          <w:sz w:val="24"/>
          <w:szCs w:val="24"/>
        </w:rPr>
        <w:t>nt assay (</w:t>
      </w:r>
      <w:r w:rsidRPr="00B375A1">
        <w:rPr>
          <w:b/>
          <w:bCs/>
          <w:iCs/>
          <w:sz w:val="24"/>
          <w:szCs w:val="24"/>
        </w:rPr>
        <w:t>ELISA</w:t>
      </w:r>
      <w:r w:rsidR="00702CE5" w:rsidRPr="00B375A1">
        <w:rPr>
          <w:b/>
          <w:bCs/>
          <w:iCs/>
          <w:sz w:val="24"/>
          <w:szCs w:val="24"/>
        </w:rPr>
        <w:t>)</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ELISA is now the most widely used form of immunoassay for the rapid detection of viral antigens and antibodies and there are many different formats available such as DOT blot (Fig.</w:t>
      </w:r>
      <w:r w:rsidR="00322EA6">
        <w:rPr>
          <w:sz w:val="24"/>
          <w:szCs w:val="24"/>
        </w:rPr>
        <w:t xml:space="preserve"> </w:t>
      </w:r>
      <w:r w:rsidRPr="00561279">
        <w:rPr>
          <w:sz w:val="24"/>
          <w:szCs w:val="24"/>
        </w:rPr>
        <w:t>3) and Plate method. DOT blot method has been used for bovine herpes, rotavirus and BTV detections. Commercial enzyme-linked immunosorbent assay kits were also used for felin</w:t>
      </w:r>
      <w:r w:rsidR="0048148A">
        <w:rPr>
          <w:sz w:val="24"/>
          <w:szCs w:val="24"/>
        </w:rPr>
        <w:t xml:space="preserve">e immunodeficiency virus (FIV) </w:t>
      </w:r>
      <w:r w:rsidRPr="00561279">
        <w:rPr>
          <w:sz w:val="24"/>
          <w:szCs w:val="24"/>
        </w:rPr>
        <w:t>and feline leukemia viral (</w:t>
      </w:r>
      <w:proofErr w:type="spellStart"/>
      <w:r w:rsidRPr="00561279">
        <w:rPr>
          <w:sz w:val="24"/>
          <w:szCs w:val="24"/>
        </w:rPr>
        <w:t>FeLV</w:t>
      </w:r>
      <w:proofErr w:type="spellEnd"/>
      <w:r w:rsidR="0048148A">
        <w:rPr>
          <w:sz w:val="24"/>
          <w:szCs w:val="24"/>
        </w:rPr>
        <w:t>)</w:t>
      </w:r>
      <w:r w:rsidRPr="00561279">
        <w:rPr>
          <w:sz w:val="24"/>
          <w:szCs w:val="24"/>
        </w:rPr>
        <w:t xml:space="preserve"> antigen detection (</w:t>
      </w:r>
      <w:proofErr w:type="spellStart"/>
      <w:r w:rsidRPr="00561279">
        <w:rPr>
          <w:sz w:val="24"/>
          <w:szCs w:val="24"/>
        </w:rPr>
        <w:t>Ramanathan</w:t>
      </w:r>
      <w:proofErr w:type="spellEnd"/>
      <w:r w:rsidRPr="00561279">
        <w:rPr>
          <w:sz w:val="24"/>
          <w:szCs w:val="24"/>
        </w:rPr>
        <w:t xml:space="preserve"> et al., 2007). AGID has </w:t>
      </w:r>
      <w:r w:rsidR="000254E3" w:rsidRPr="00561279">
        <w:rPr>
          <w:sz w:val="24"/>
          <w:szCs w:val="24"/>
        </w:rPr>
        <w:t>also</w:t>
      </w:r>
      <w:r w:rsidRPr="00561279">
        <w:rPr>
          <w:sz w:val="24"/>
          <w:szCs w:val="24"/>
        </w:rPr>
        <w:t xml:space="preserve"> been used to detect antibodies against bluetongue virus in deer and camel and sheep (</w:t>
      </w:r>
      <w:proofErr w:type="spellStart"/>
      <w:r w:rsidRPr="00561279">
        <w:rPr>
          <w:sz w:val="24"/>
          <w:szCs w:val="24"/>
        </w:rPr>
        <w:t>Naresh</w:t>
      </w:r>
      <w:proofErr w:type="spellEnd"/>
      <w:r w:rsidRPr="00561279">
        <w:rPr>
          <w:sz w:val="24"/>
          <w:szCs w:val="24"/>
        </w:rPr>
        <w:t xml:space="preserve"> et al., 1996). Serological survey of bluetongue virus antibody in domestic and wild ruminants in and around </w:t>
      </w:r>
      <w:proofErr w:type="spellStart"/>
      <w:r w:rsidRPr="00561279">
        <w:rPr>
          <w:sz w:val="24"/>
          <w:szCs w:val="24"/>
        </w:rPr>
        <w:t>Sariska</w:t>
      </w:r>
      <w:proofErr w:type="spellEnd"/>
      <w:r w:rsidRPr="00561279">
        <w:rPr>
          <w:sz w:val="24"/>
          <w:szCs w:val="24"/>
        </w:rPr>
        <w:t xml:space="preserve"> tiger reserve in Rajasthan has shown presence of antibodies in deer as well as sheep (Prasad et al., 1998).</w:t>
      </w:r>
    </w:p>
    <w:p w:rsidR="00CF2A24" w:rsidRPr="006949BD" w:rsidRDefault="00CF2A24" w:rsidP="00CF2A24">
      <w:pPr>
        <w:spacing w:before="100" w:beforeAutospacing="1" w:after="100" w:afterAutospacing="1" w:line="276" w:lineRule="auto"/>
        <w:ind w:left="142" w:hanging="142"/>
        <w:jc w:val="both"/>
        <w:rPr>
          <w:b/>
          <w:iCs/>
          <w:sz w:val="24"/>
          <w:szCs w:val="24"/>
        </w:rPr>
      </w:pPr>
      <w:r w:rsidRPr="006949BD">
        <w:rPr>
          <w:b/>
          <w:iCs/>
          <w:sz w:val="24"/>
          <w:szCs w:val="24"/>
        </w:rPr>
        <w:t xml:space="preserve">b) </w:t>
      </w:r>
      <w:proofErr w:type="spellStart"/>
      <w:r w:rsidRPr="006949BD">
        <w:rPr>
          <w:b/>
          <w:iCs/>
          <w:sz w:val="24"/>
          <w:szCs w:val="24"/>
        </w:rPr>
        <w:t>Immunofluorescense</w:t>
      </w:r>
      <w:proofErr w:type="spellEnd"/>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 xml:space="preserve">Immunofluorescence (IF) assay is widely used for the rapid diagnosis of virus infections by the detection of virus antigen in clinical specimens, as well as the detection of virus-specific </w:t>
      </w:r>
      <w:proofErr w:type="spellStart"/>
      <w:r w:rsidRPr="00561279">
        <w:rPr>
          <w:sz w:val="24"/>
          <w:szCs w:val="24"/>
        </w:rPr>
        <w:t>IgG</w:t>
      </w:r>
      <w:proofErr w:type="spellEnd"/>
      <w:r w:rsidRPr="00561279">
        <w:rPr>
          <w:sz w:val="24"/>
          <w:szCs w:val="24"/>
        </w:rPr>
        <w:t xml:space="preserve"> or IgA or </w:t>
      </w:r>
      <w:proofErr w:type="spellStart"/>
      <w:r w:rsidRPr="00561279">
        <w:rPr>
          <w:sz w:val="24"/>
          <w:szCs w:val="24"/>
        </w:rPr>
        <w:t>IgM</w:t>
      </w:r>
      <w:proofErr w:type="spellEnd"/>
      <w:r w:rsidRPr="00561279">
        <w:rPr>
          <w:sz w:val="24"/>
          <w:szCs w:val="24"/>
        </w:rPr>
        <w:t xml:space="preserve"> antibody. The technique makes use of a fluorescein- </w:t>
      </w:r>
      <w:proofErr w:type="spellStart"/>
      <w:r w:rsidRPr="00561279">
        <w:rPr>
          <w:sz w:val="24"/>
          <w:szCs w:val="24"/>
        </w:rPr>
        <w:t>labelled</w:t>
      </w:r>
      <w:proofErr w:type="spellEnd"/>
      <w:r w:rsidRPr="00561279">
        <w:rPr>
          <w:sz w:val="24"/>
          <w:szCs w:val="24"/>
        </w:rPr>
        <w:t xml:space="preserve"> antibody to stain specimens containing specific virus antigens, so that the stained cells fluoresce under UV illumination (Fig.</w:t>
      </w:r>
      <w:r w:rsidR="009B5EB7">
        <w:rPr>
          <w:sz w:val="24"/>
          <w:szCs w:val="24"/>
        </w:rPr>
        <w:t xml:space="preserve"> </w:t>
      </w:r>
      <w:r w:rsidRPr="00561279">
        <w:rPr>
          <w:sz w:val="24"/>
          <w:szCs w:val="24"/>
        </w:rPr>
        <w:t xml:space="preserve">4). Direct or indirect IF can be used for the detection of virus antigen, </w:t>
      </w:r>
      <w:r w:rsidRPr="00561279">
        <w:rPr>
          <w:sz w:val="24"/>
          <w:szCs w:val="24"/>
        </w:rPr>
        <w:lastRenderedPageBreak/>
        <w:t xml:space="preserve">whereas indirect IF is used for the detection of antibody. </w:t>
      </w:r>
      <w:r w:rsidRPr="00561279">
        <w:rPr>
          <w:i/>
          <w:sz w:val="24"/>
          <w:szCs w:val="24"/>
        </w:rPr>
        <w:t>In vitro</w:t>
      </w:r>
      <w:r w:rsidRPr="00561279">
        <w:rPr>
          <w:sz w:val="24"/>
          <w:szCs w:val="24"/>
        </w:rPr>
        <w:t xml:space="preserve"> susceptibility of goat mononuclear cells to bluetongue virus has been studied in Haryana using IF test </w:t>
      </w:r>
      <w:r w:rsidRPr="00561279">
        <w:rPr>
          <w:rStyle w:val="citation"/>
          <w:sz w:val="24"/>
          <w:szCs w:val="24"/>
        </w:rPr>
        <w:t>(</w:t>
      </w:r>
      <w:proofErr w:type="spellStart"/>
      <w:r w:rsidRPr="00561279">
        <w:rPr>
          <w:sz w:val="24"/>
          <w:szCs w:val="24"/>
        </w:rPr>
        <w:t>Garg</w:t>
      </w:r>
      <w:proofErr w:type="spellEnd"/>
      <w:r w:rsidRPr="00561279">
        <w:rPr>
          <w:sz w:val="24"/>
          <w:szCs w:val="24"/>
        </w:rPr>
        <w:t xml:space="preserve"> et al., 1996</w:t>
      </w:r>
      <w:r w:rsidRPr="00561279">
        <w:rPr>
          <w:rStyle w:val="citation"/>
          <w:sz w:val="24"/>
          <w:szCs w:val="24"/>
        </w:rPr>
        <w:t>).</w:t>
      </w:r>
      <w:r w:rsidRPr="00561279">
        <w:rPr>
          <w:sz w:val="24"/>
          <w:szCs w:val="24"/>
        </w:rPr>
        <w:t xml:space="preserve"> </w:t>
      </w:r>
    </w:p>
    <w:p w:rsidR="00CF2A24" w:rsidRPr="006949BD" w:rsidRDefault="00CF2A24" w:rsidP="00CF2A24">
      <w:pPr>
        <w:pStyle w:val="Heading1"/>
        <w:numPr>
          <w:ilvl w:val="0"/>
          <w:numId w:val="0"/>
        </w:numPr>
        <w:tabs>
          <w:tab w:val="clear" w:pos="216"/>
        </w:tabs>
        <w:spacing w:before="100" w:beforeAutospacing="1" w:after="100" w:afterAutospacing="1" w:line="276" w:lineRule="auto"/>
        <w:jc w:val="left"/>
        <w:rPr>
          <w:b/>
          <w:bCs/>
          <w:sz w:val="24"/>
          <w:szCs w:val="24"/>
        </w:rPr>
      </w:pPr>
      <w:r w:rsidRPr="006949BD">
        <w:rPr>
          <w:b/>
          <w:bCs/>
          <w:sz w:val="24"/>
          <w:szCs w:val="24"/>
        </w:rPr>
        <w:t>II. MOLECULAR APPROACHES</w:t>
      </w:r>
    </w:p>
    <w:p w:rsidR="00CF2A24" w:rsidRPr="00561279" w:rsidRDefault="00CF2A24" w:rsidP="00CF2A24">
      <w:pPr>
        <w:autoSpaceDE w:val="0"/>
        <w:autoSpaceDN w:val="0"/>
        <w:adjustRightInd w:val="0"/>
        <w:spacing w:before="100" w:beforeAutospacing="1" w:after="100" w:afterAutospacing="1" w:line="276" w:lineRule="auto"/>
        <w:jc w:val="both"/>
        <w:rPr>
          <w:sz w:val="24"/>
          <w:szCs w:val="24"/>
        </w:rPr>
      </w:pPr>
      <w:r w:rsidRPr="00561279">
        <w:rPr>
          <w:sz w:val="24"/>
          <w:szCs w:val="24"/>
        </w:rPr>
        <w:t>Molecular biology techniques for the direct detection of viral genomes in the specimen will play an increasingly important role in the clinical virology laboratory in the 21</w:t>
      </w:r>
      <w:r w:rsidRPr="00561279">
        <w:rPr>
          <w:sz w:val="24"/>
          <w:szCs w:val="24"/>
          <w:vertAlign w:val="superscript"/>
        </w:rPr>
        <w:t>st</w:t>
      </w:r>
      <w:r w:rsidRPr="00561279">
        <w:rPr>
          <w:sz w:val="24"/>
          <w:szCs w:val="24"/>
        </w:rPr>
        <w:t xml:space="preserve"> century. In the molecular techniques, typically, DNA is extracted from the sample of interest which can be probed by DNA hybridization and analyzed by restriction fragment length polymorphism (RFLP). More commonly, DNA is amplified by the polymerase chain reaction (PCR) using specific primers for diagnostic sequences. A number of assays like RNA-polyacrylamide gel electrophoresis (RNA-PAGE), reverse transcription polymerase chain reaction (RT-PCR) etc have been employed for rotavirus diagnosis</w:t>
      </w:r>
      <w:r w:rsidRPr="00561279">
        <w:rPr>
          <w:rStyle w:val="citation"/>
          <w:sz w:val="24"/>
          <w:szCs w:val="24"/>
        </w:rPr>
        <w:t xml:space="preserve">, </w:t>
      </w:r>
      <w:r w:rsidRPr="00561279">
        <w:rPr>
          <w:sz w:val="24"/>
          <w:szCs w:val="24"/>
        </w:rPr>
        <w:t>bluetongue virus diagnosis</w:t>
      </w:r>
      <w:r w:rsidRPr="00561279">
        <w:rPr>
          <w:rStyle w:val="citation"/>
          <w:sz w:val="24"/>
          <w:szCs w:val="24"/>
        </w:rPr>
        <w:t xml:space="preserve"> (</w:t>
      </w:r>
      <w:proofErr w:type="spellStart"/>
      <w:r w:rsidRPr="00561279">
        <w:rPr>
          <w:sz w:val="24"/>
          <w:szCs w:val="24"/>
        </w:rPr>
        <w:t>Dalal</w:t>
      </w:r>
      <w:proofErr w:type="spellEnd"/>
      <w:r w:rsidRPr="00561279">
        <w:rPr>
          <w:sz w:val="24"/>
          <w:szCs w:val="24"/>
        </w:rPr>
        <w:t xml:space="preserve"> et al., 2008;</w:t>
      </w:r>
      <w:r w:rsidRPr="00561279">
        <w:rPr>
          <w:rStyle w:val="citation"/>
          <w:sz w:val="24"/>
          <w:szCs w:val="24"/>
        </w:rPr>
        <w:t xml:space="preserve"> </w:t>
      </w:r>
      <w:proofErr w:type="spellStart"/>
      <w:r w:rsidRPr="00561279">
        <w:rPr>
          <w:sz w:val="24"/>
          <w:szCs w:val="24"/>
        </w:rPr>
        <w:t>Kovi</w:t>
      </w:r>
      <w:proofErr w:type="spellEnd"/>
      <w:r w:rsidRPr="00561279">
        <w:rPr>
          <w:sz w:val="24"/>
          <w:szCs w:val="24"/>
        </w:rPr>
        <w:t xml:space="preserve"> et al., 2007; </w:t>
      </w:r>
      <w:proofErr w:type="spellStart"/>
      <w:r w:rsidRPr="00561279">
        <w:rPr>
          <w:sz w:val="24"/>
          <w:szCs w:val="24"/>
        </w:rPr>
        <w:t>Dahiya</w:t>
      </w:r>
      <w:proofErr w:type="spellEnd"/>
      <w:r w:rsidRPr="00561279">
        <w:rPr>
          <w:sz w:val="24"/>
          <w:szCs w:val="24"/>
        </w:rPr>
        <w:t xml:space="preserve"> et al., 2005).</w:t>
      </w:r>
    </w:p>
    <w:p w:rsidR="00CF2A24" w:rsidRPr="006949BD" w:rsidRDefault="00CF2A24" w:rsidP="00CF2A24">
      <w:pPr>
        <w:pStyle w:val="Heading2"/>
        <w:numPr>
          <w:ilvl w:val="0"/>
          <w:numId w:val="0"/>
        </w:numPr>
        <w:spacing w:before="100" w:beforeAutospacing="1" w:after="100" w:afterAutospacing="1" w:line="276" w:lineRule="auto"/>
        <w:rPr>
          <w:b/>
          <w:i w:val="0"/>
          <w:iCs w:val="0"/>
          <w:sz w:val="24"/>
          <w:szCs w:val="24"/>
        </w:rPr>
      </w:pPr>
      <w:r w:rsidRPr="006949BD">
        <w:rPr>
          <w:b/>
          <w:i w:val="0"/>
          <w:iCs w:val="0"/>
          <w:sz w:val="24"/>
          <w:szCs w:val="24"/>
        </w:rPr>
        <w:t xml:space="preserve">1. Nucleic Acid Probes </w:t>
      </w:r>
    </w:p>
    <w:p w:rsidR="00CF2A24" w:rsidRPr="00561279" w:rsidRDefault="00CF2A24" w:rsidP="00CF2A24">
      <w:pPr>
        <w:pStyle w:val="NormalWeb"/>
        <w:spacing w:before="240" w:line="276" w:lineRule="auto"/>
        <w:jc w:val="both"/>
      </w:pPr>
      <w:r w:rsidRPr="00561279">
        <w:t>Nucleic acid probes are segments of DNA or RNA that have been labeled with enzymes, antigenic substr</w:t>
      </w:r>
      <w:r w:rsidR="00C920D9">
        <w:t xml:space="preserve">ates, </w:t>
      </w:r>
      <w:proofErr w:type="spellStart"/>
      <w:r w:rsidR="00C920D9">
        <w:t>chemiluminescent</w:t>
      </w:r>
      <w:proofErr w:type="spellEnd"/>
      <w:r w:rsidR="00C920D9">
        <w:t xml:space="preserve"> moieties</w:t>
      </w:r>
      <w:r w:rsidRPr="00561279">
        <w:t xml:space="preserve"> or radioisotopes. They can bind with high specificity to complementary sequences of nucleic acid. Probes can be directed to either DNA or RNA targets and can be from 20 to thousands of bases long. The presence and the quantity of hybrids after hybridization are determined by the detection of the label. A variety of labeling and detection systems exist for nucleic acid probes which includes both radiolabelled </w:t>
      </w:r>
      <w:r w:rsidRPr="00451B98">
        <w:t>(Fig.</w:t>
      </w:r>
      <w:r w:rsidR="009B5EB7">
        <w:t xml:space="preserve"> </w:t>
      </w:r>
      <w:r w:rsidRPr="00451B98">
        <w:t>5)</w:t>
      </w:r>
      <w:r w:rsidRPr="00561279">
        <w:t xml:space="preserve"> and </w:t>
      </w:r>
      <w:proofErr w:type="spellStart"/>
      <w:r w:rsidRPr="00561279">
        <w:t>nonradiolabelled</w:t>
      </w:r>
      <w:proofErr w:type="spellEnd"/>
      <w:r w:rsidRPr="00561279">
        <w:t xml:space="preserve"> methods. These include labeling with a variety of </w:t>
      </w:r>
      <w:proofErr w:type="spellStart"/>
      <w:r w:rsidRPr="00561279">
        <w:t>haptens</w:t>
      </w:r>
      <w:proofErr w:type="spellEnd"/>
      <w:r w:rsidRPr="00561279">
        <w:t xml:space="preserve"> such as biotin or </w:t>
      </w:r>
      <w:proofErr w:type="spellStart"/>
      <w:r w:rsidRPr="00561279">
        <w:t>digoxygenin</w:t>
      </w:r>
      <w:proofErr w:type="spellEnd"/>
      <w:r w:rsidRPr="00561279">
        <w:t xml:space="preserve"> </w:t>
      </w:r>
      <w:r w:rsidR="004E705D">
        <w:t xml:space="preserve">(DIG) </w:t>
      </w:r>
      <w:r w:rsidRPr="00561279">
        <w:t>(Fig.</w:t>
      </w:r>
      <w:r w:rsidR="009B5EB7">
        <w:t xml:space="preserve"> </w:t>
      </w:r>
      <w:r w:rsidRPr="00561279">
        <w:t xml:space="preserve">6) and detection by antibody binding coupled with fluorescent, </w:t>
      </w:r>
      <w:proofErr w:type="spellStart"/>
      <w:r w:rsidRPr="00561279">
        <w:t>chemiluminescent</w:t>
      </w:r>
      <w:proofErr w:type="spellEnd"/>
      <w:r w:rsidRPr="00561279">
        <w:t xml:space="preserve"> or colorimetric detection methods </w:t>
      </w:r>
      <w:r w:rsidRPr="00561279">
        <w:rPr>
          <w:rStyle w:val="citation"/>
        </w:rPr>
        <w:t>(</w:t>
      </w:r>
      <w:r w:rsidRPr="00561279">
        <w:rPr>
          <w:bCs/>
        </w:rPr>
        <w:t>Minakshi et al., 2005</w:t>
      </w:r>
      <w:r w:rsidRPr="00561279">
        <w:rPr>
          <w:bCs/>
          <w:lang w:val="sv-SE"/>
        </w:rPr>
        <w:t>)</w:t>
      </w:r>
      <w:r w:rsidRPr="00561279">
        <w:t>.</w:t>
      </w:r>
    </w:p>
    <w:p w:rsidR="00CF2A24" w:rsidRPr="006949BD" w:rsidRDefault="00CF2A24" w:rsidP="00CF2A24">
      <w:pPr>
        <w:pStyle w:val="Heading2"/>
        <w:numPr>
          <w:ilvl w:val="0"/>
          <w:numId w:val="0"/>
        </w:numPr>
        <w:spacing w:before="100" w:beforeAutospacing="1" w:after="100" w:afterAutospacing="1" w:line="276" w:lineRule="auto"/>
        <w:rPr>
          <w:b/>
          <w:bCs/>
          <w:i w:val="0"/>
          <w:iCs w:val="0"/>
          <w:sz w:val="24"/>
          <w:szCs w:val="24"/>
        </w:rPr>
      </w:pPr>
      <w:r w:rsidRPr="006949BD">
        <w:rPr>
          <w:b/>
          <w:bCs/>
          <w:i w:val="0"/>
          <w:iCs w:val="0"/>
          <w:sz w:val="24"/>
          <w:szCs w:val="24"/>
        </w:rPr>
        <w:t>2. Polymerase chain reaction (PCR)</w:t>
      </w:r>
    </w:p>
    <w:p w:rsidR="00CF2A24" w:rsidRPr="00561279" w:rsidRDefault="00CF2A24" w:rsidP="00CF2A24">
      <w:pPr>
        <w:autoSpaceDE w:val="0"/>
        <w:autoSpaceDN w:val="0"/>
        <w:adjustRightInd w:val="0"/>
        <w:spacing w:before="100" w:beforeAutospacing="1" w:after="100" w:afterAutospacing="1" w:line="276" w:lineRule="auto"/>
        <w:jc w:val="both"/>
        <w:rPr>
          <w:sz w:val="24"/>
          <w:szCs w:val="24"/>
          <w:lang w:eastAsia="en-IN"/>
        </w:rPr>
      </w:pPr>
      <w:r w:rsidRPr="00561279">
        <w:rPr>
          <w:sz w:val="24"/>
          <w:szCs w:val="24"/>
        </w:rPr>
        <w:t xml:space="preserve">Polymerase chain reaction is a technique for amplifying a specific region of DNA by a </w:t>
      </w:r>
      <w:proofErr w:type="spellStart"/>
      <w:r w:rsidRPr="00561279">
        <w:rPr>
          <w:sz w:val="24"/>
          <w:szCs w:val="24"/>
        </w:rPr>
        <w:t>the</w:t>
      </w:r>
      <w:r w:rsidR="0016109E">
        <w:rPr>
          <w:sz w:val="24"/>
          <w:szCs w:val="24"/>
        </w:rPr>
        <w:t>rmostable</w:t>
      </w:r>
      <w:proofErr w:type="spellEnd"/>
      <w:r w:rsidR="0016109E">
        <w:rPr>
          <w:sz w:val="24"/>
          <w:szCs w:val="24"/>
        </w:rPr>
        <w:t xml:space="preserve"> DNA polymerase (Fig.7</w:t>
      </w:r>
      <w:r w:rsidR="00D95EA7">
        <w:rPr>
          <w:sz w:val="24"/>
          <w:szCs w:val="24"/>
        </w:rPr>
        <w:t>).</w:t>
      </w:r>
      <w:r w:rsidR="00C920D9">
        <w:rPr>
          <w:sz w:val="24"/>
          <w:szCs w:val="24"/>
        </w:rPr>
        <w:t xml:space="preserve"> PCR reaction uses</w:t>
      </w:r>
      <w:r w:rsidR="00BE449E">
        <w:rPr>
          <w:sz w:val="24"/>
          <w:szCs w:val="24"/>
        </w:rPr>
        <w:t xml:space="preserve"> short oligonucleotide primer sequences</w:t>
      </w:r>
      <w:r w:rsidR="0023784F">
        <w:rPr>
          <w:sz w:val="24"/>
          <w:szCs w:val="24"/>
        </w:rPr>
        <w:t xml:space="preserve">, </w:t>
      </w:r>
      <w:proofErr w:type="spellStart"/>
      <w:r w:rsidR="0023784F">
        <w:rPr>
          <w:sz w:val="24"/>
          <w:szCs w:val="24"/>
        </w:rPr>
        <w:t>dNTPs</w:t>
      </w:r>
      <w:proofErr w:type="spellEnd"/>
      <w:r w:rsidR="0023784F">
        <w:rPr>
          <w:sz w:val="24"/>
          <w:szCs w:val="24"/>
        </w:rPr>
        <w:t xml:space="preserve">, </w:t>
      </w:r>
      <w:r w:rsidR="005A55E7">
        <w:rPr>
          <w:sz w:val="24"/>
          <w:szCs w:val="24"/>
        </w:rPr>
        <w:t xml:space="preserve">DNA </w:t>
      </w:r>
      <w:r w:rsidR="0023784F">
        <w:rPr>
          <w:sz w:val="24"/>
          <w:szCs w:val="24"/>
        </w:rPr>
        <w:t xml:space="preserve">template and </w:t>
      </w:r>
      <w:proofErr w:type="spellStart"/>
      <w:r w:rsidR="0023784F" w:rsidRPr="00561279">
        <w:rPr>
          <w:sz w:val="24"/>
          <w:szCs w:val="24"/>
        </w:rPr>
        <w:t>the</w:t>
      </w:r>
      <w:r w:rsidR="0023784F">
        <w:rPr>
          <w:sz w:val="24"/>
          <w:szCs w:val="24"/>
        </w:rPr>
        <w:t>rmostable</w:t>
      </w:r>
      <w:proofErr w:type="spellEnd"/>
      <w:r w:rsidR="0023784F">
        <w:rPr>
          <w:sz w:val="24"/>
          <w:szCs w:val="24"/>
        </w:rPr>
        <w:t xml:space="preserve"> DNA polymerase enzyme.</w:t>
      </w:r>
      <w:r w:rsidR="00D95EA7">
        <w:rPr>
          <w:sz w:val="24"/>
          <w:szCs w:val="24"/>
        </w:rPr>
        <w:t xml:space="preserve"> PCR reaction involves three steps viz. denaturation, annealing and extension repeatedly for 30-40 cycles in thermal cycler. </w:t>
      </w:r>
      <w:r w:rsidR="0023784F">
        <w:rPr>
          <w:sz w:val="24"/>
          <w:szCs w:val="24"/>
        </w:rPr>
        <w:t xml:space="preserve"> </w:t>
      </w:r>
      <w:r w:rsidRPr="00561279">
        <w:rPr>
          <w:sz w:val="24"/>
          <w:szCs w:val="24"/>
        </w:rPr>
        <w:t>It can be used for viral diagnostic purposes</w:t>
      </w:r>
      <w:r w:rsidRPr="00561279">
        <w:rPr>
          <w:rStyle w:val="citation"/>
          <w:sz w:val="24"/>
          <w:szCs w:val="24"/>
        </w:rPr>
        <w:t xml:space="preserve">. </w:t>
      </w:r>
      <w:r w:rsidRPr="00561279">
        <w:rPr>
          <w:sz w:val="24"/>
          <w:szCs w:val="24"/>
          <w:lang w:eastAsia="en-IN"/>
        </w:rPr>
        <w:t>There are several modifications of PCR such as RT-PCR,</w:t>
      </w:r>
      <w:r w:rsidRPr="00561279">
        <w:rPr>
          <w:rFonts w:eastAsia="Times New Roman"/>
          <w:sz w:val="24"/>
          <w:szCs w:val="24"/>
          <w:lang w:eastAsia="en-GB"/>
        </w:rPr>
        <w:t xml:space="preserve"> Real-Time PCR, </w:t>
      </w:r>
      <w:r w:rsidRPr="00561279">
        <w:rPr>
          <w:bCs/>
          <w:sz w:val="24"/>
          <w:szCs w:val="24"/>
        </w:rPr>
        <w:t xml:space="preserve">Multiplex PCR and </w:t>
      </w:r>
      <w:r w:rsidRPr="00561279">
        <w:rPr>
          <w:sz w:val="24"/>
          <w:szCs w:val="24"/>
          <w:lang w:eastAsia="en-IN"/>
        </w:rPr>
        <w:t xml:space="preserve">Multiplex real-time PCR used in molecular diagnosis of viruses. The PCR amplified products can be used for </w:t>
      </w:r>
      <w:r w:rsidR="00C94BEB">
        <w:rPr>
          <w:sz w:val="24"/>
          <w:szCs w:val="24"/>
          <w:lang w:eastAsia="en-IN"/>
        </w:rPr>
        <w:t xml:space="preserve">nucleic acid </w:t>
      </w:r>
      <w:r w:rsidRPr="00561279">
        <w:rPr>
          <w:sz w:val="24"/>
          <w:szCs w:val="24"/>
          <w:lang w:eastAsia="en-IN"/>
        </w:rPr>
        <w:t>sequencing to analyze th</w:t>
      </w:r>
      <w:r w:rsidR="00A23770">
        <w:rPr>
          <w:sz w:val="24"/>
          <w:szCs w:val="24"/>
          <w:lang w:eastAsia="en-IN"/>
        </w:rPr>
        <w:t>e phylogenetic variations (Fig.</w:t>
      </w:r>
      <w:r w:rsidR="009C140B">
        <w:rPr>
          <w:sz w:val="24"/>
          <w:szCs w:val="24"/>
          <w:lang w:eastAsia="en-IN"/>
        </w:rPr>
        <w:t xml:space="preserve"> </w:t>
      </w:r>
      <w:r w:rsidR="00A23770">
        <w:rPr>
          <w:sz w:val="24"/>
          <w:szCs w:val="24"/>
          <w:lang w:eastAsia="en-IN"/>
        </w:rPr>
        <w:t>8</w:t>
      </w:r>
      <w:r w:rsidRPr="00561279">
        <w:rPr>
          <w:sz w:val="24"/>
          <w:szCs w:val="24"/>
          <w:lang w:eastAsia="en-IN"/>
        </w:rPr>
        <w:t xml:space="preserve">) and new strains </w:t>
      </w:r>
      <w:r w:rsidR="004B096A">
        <w:rPr>
          <w:sz w:val="24"/>
          <w:szCs w:val="24"/>
          <w:lang w:eastAsia="en-IN"/>
        </w:rPr>
        <w:t xml:space="preserve">of pathogens </w:t>
      </w:r>
      <w:r w:rsidRPr="00561279">
        <w:rPr>
          <w:sz w:val="24"/>
          <w:szCs w:val="24"/>
          <w:lang w:eastAsia="en-IN"/>
        </w:rPr>
        <w:t>can be identified (</w:t>
      </w:r>
      <w:proofErr w:type="spellStart"/>
      <w:r w:rsidRPr="00561279">
        <w:rPr>
          <w:sz w:val="24"/>
          <w:szCs w:val="24"/>
        </w:rPr>
        <w:t>Susmitha</w:t>
      </w:r>
      <w:proofErr w:type="spellEnd"/>
      <w:r w:rsidRPr="00561279">
        <w:rPr>
          <w:sz w:val="24"/>
          <w:szCs w:val="24"/>
        </w:rPr>
        <w:t xml:space="preserve"> et al., 2012</w:t>
      </w:r>
      <w:r w:rsidRPr="00561279">
        <w:rPr>
          <w:sz w:val="24"/>
          <w:szCs w:val="24"/>
          <w:lang w:eastAsia="en-IN"/>
        </w:rPr>
        <w:t>).</w:t>
      </w:r>
    </w:p>
    <w:p w:rsidR="00CF2A24" w:rsidRPr="006949BD" w:rsidRDefault="00CF2A24" w:rsidP="00CF2A24">
      <w:pPr>
        <w:pStyle w:val="Heading2"/>
        <w:numPr>
          <w:ilvl w:val="0"/>
          <w:numId w:val="0"/>
        </w:numPr>
        <w:spacing w:before="100" w:beforeAutospacing="1" w:after="100" w:afterAutospacing="1" w:line="276" w:lineRule="auto"/>
        <w:rPr>
          <w:b/>
          <w:bCs/>
          <w:i w:val="0"/>
          <w:iCs w:val="0"/>
          <w:sz w:val="24"/>
          <w:szCs w:val="24"/>
        </w:rPr>
      </w:pPr>
      <w:r w:rsidRPr="006949BD">
        <w:rPr>
          <w:b/>
          <w:bCs/>
          <w:i w:val="0"/>
          <w:iCs w:val="0"/>
          <w:sz w:val="24"/>
          <w:szCs w:val="24"/>
        </w:rPr>
        <w:t>3. Reverse transcription polymerase chain reaction (RT-PCR)</w:t>
      </w:r>
    </w:p>
    <w:p w:rsidR="00CF2A24" w:rsidRPr="00561279" w:rsidRDefault="004A7360" w:rsidP="00CF2A24">
      <w:pPr>
        <w:autoSpaceDE w:val="0"/>
        <w:autoSpaceDN w:val="0"/>
        <w:adjustRightInd w:val="0"/>
        <w:spacing w:before="100" w:beforeAutospacing="1" w:after="100" w:afterAutospacing="1" w:line="276" w:lineRule="auto"/>
        <w:jc w:val="both"/>
        <w:rPr>
          <w:sz w:val="24"/>
          <w:szCs w:val="24"/>
          <w:lang w:val="en-GB"/>
        </w:rPr>
      </w:pPr>
      <w:r w:rsidRPr="004A7360">
        <w:rPr>
          <w:sz w:val="24"/>
          <w:szCs w:val="24"/>
        </w:rPr>
        <w:t>In RT-PCR, the RNA template is first converted into a complementary DNA (cDNA) using a reverse transcriptase</w:t>
      </w:r>
      <w:r>
        <w:rPr>
          <w:sz w:val="24"/>
          <w:szCs w:val="24"/>
        </w:rPr>
        <w:t xml:space="preserve"> enzyme (</w:t>
      </w:r>
      <w:proofErr w:type="spellStart"/>
      <w:r w:rsidR="00B166AB">
        <w:rPr>
          <w:sz w:val="24"/>
          <w:szCs w:val="24"/>
        </w:rPr>
        <w:t>eg</w:t>
      </w:r>
      <w:proofErr w:type="spellEnd"/>
      <w:r w:rsidR="00B166AB">
        <w:rPr>
          <w:sz w:val="24"/>
          <w:szCs w:val="24"/>
        </w:rPr>
        <w:t xml:space="preserve"> </w:t>
      </w:r>
      <w:proofErr w:type="spellStart"/>
      <w:r w:rsidR="00AB3A25">
        <w:rPr>
          <w:sz w:val="24"/>
          <w:szCs w:val="24"/>
        </w:rPr>
        <w:t>Mo</w:t>
      </w:r>
      <w:r>
        <w:rPr>
          <w:sz w:val="24"/>
          <w:szCs w:val="24"/>
        </w:rPr>
        <w:t>loney</w:t>
      </w:r>
      <w:proofErr w:type="spellEnd"/>
      <w:r>
        <w:rPr>
          <w:sz w:val="24"/>
          <w:szCs w:val="24"/>
        </w:rPr>
        <w:t xml:space="preserve"> murine leukemia virus</w:t>
      </w:r>
      <w:r w:rsidR="002B244E">
        <w:rPr>
          <w:sz w:val="24"/>
          <w:szCs w:val="24"/>
        </w:rPr>
        <w:t xml:space="preserve"> enzyme</w:t>
      </w:r>
      <w:r>
        <w:rPr>
          <w:sz w:val="24"/>
          <w:szCs w:val="24"/>
        </w:rPr>
        <w:t>)</w:t>
      </w:r>
      <w:r w:rsidRPr="004A7360">
        <w:rPr>
          <w:sz w:val="24"/>
          <w:szCs w:val="24"/>
        </w:rPr>
        <w:t>. The cDNA is then used as a template for exponential amplification using PCR</w:t>
      </w:r>
      <w:r w:rsidR="005C7604">
        <w:rPr>
          <w:sz w:val="24"/>
          <w:szCs w:val="24"/>
        </w:rPr>
        <w:t xml:space="preserve"> using specific </w:t>
      </w:r>
      <w:r w:rsidR="001F0652">
        <w:rPr>
          <w:sz w:val="24"/>
          <w:szCs w:val="24"/>
        </w:rPr>
        <w:lastRenderedPageBreak/>
        <w:t xml:space="preserve">oligonucleotide </w:t>
      </w:r>
      <w:r w:rsidR="005C7604">
        <w:rPr>
          <w:sz w:val="24"/>
          <w:szCs w:val="24"/>
        </w:rPr>
        <w:t>primer</w:t>
      </w:r>
      <w:r w:rsidRPr="004A7360">
        <w:rPr>
          <w:sz w:val="24"/>
          <w:szCs w:val="24"/>
        </w:rPr>
        <w:t>. RT-PCR is currently the most sensitive method of RNA detection availa</w:t>
      </w:r>
      <w:r w:rsidR="000217B6">
        <w:rPr>
          <w:sz w:val="24"/>
          <w:szCs w:val="24"/>
        </w:rPr>
        <w:t>ble.</w:t>
      </w:r>
      <w:r w:rsidR="00DF07D7">
        <w:rPr>
          <w:sz w:val="24"/>
          <w:szCs w:val="24"/>
        </w:rPr>
        <w:t xml:space="preserve"> In molecular virology RT-PCR is used for diagnosis of RNA viruses (Rotavirus and BTV</w:t>
      </w:r>
      <w:r w:rsidR="00690E4B">
        <w:rPr>
          <w:sz w:val="24"/>
          <w:szCs w:val="24"/>
        </w:rPr>
        <w:t xml:space="preserve"> </w:t>
      </w:r>
      <w:proofErr w:type="spellStart"/>
      <w:r w:rsidR="00690E4B">
        <w:rPr>
          <w:sz w:val="24"/>
          <w:szCs w:val="24"/>
        </w:rPr>
        <w:t>etc</w:t>
      </w:r>
      <w:proofErr w:type="spellEnd"/>
      <w:r w:rsidR="00DF07D7">
        <w:rPr>
          <w:sz w:val="24"/>
          <w:szCs w:val="24"/>
        </w:rPr>
        <w:t>).</w:t>
      </w:r>
      <w:r w:rsidR="0020278D">
        <w:rPr>
          <w:sz w:val="24"/>
          <w:szCs w:val="24"/>
        </w:rPr>
        <w:t xml:space="preserve">  RT-PCR</w:t>
      </w:r>
      <w:r w:rsidR="0020278D" w:rsidRPr="00561279">
        <w:rPr>
          <w:sz w:val="24"/>
          <w:szCs w:val="24"/>
        </w:rPr>
        <w:t xml:space="preserve"> use</w:t>
      </w:r>
      <w:r w:rsidR="0020278D">
        <w:rPr>
          <w:sz w:val="24"/>
          <w:szCs w:val="24"/>
        </w:rPr>
        <w:t>s</w:t>
      </w:r>
      <w:r w:rsidR="0020278D" w:rsidRPr="00561279">
        <w:rPr>
          <w:sz w:val="24"/>
          <w:szCs w:val="24"/>
        </w:rPr>
        <w:t xml:space="preserve"> specific </w:t>
      </w:r>
      <w:r w:rsidR="0020278D">
        <w:rPr>
          <w:sz w:val="24"/>
          <w:szCs w:val="24"/>
        </w:rPr>
        <w:t>sequences of viral nucleic acid (RNA)</w:t>
      </w:r>
      <w:r w:rsidR="0020278D" w:rsidRPr="00561279">
        <w:rPr>
          <w:sz w:val="24"/>
          <w:szCs w:val="24"/>
        </w:rPr>
        <w:t xml:space="preserve"> to make accurate diagnosis</w:t>
      </w:r>
      <w:r w:rsidR="0020278D">
        <w:rPr>
          <w:sz w:val="24"/>
          <w:szCs w:val="24"/>
        </w:rPr>
        <w:t xml:space="preserve"> of viral pathogen.</w:t>
      </w:r>
      <w:r w:rsidR="0052112A">
        <w:rPr>
          <w:sz w:val="24"/>
          <w:szCs w:val="24"/>
        </w:rPr>
        <w:t xml:space="preserve"> </w:t>
      </w:r>
      <w:r w:rsidR="00CF2A24" w:rsidRPr="00561279">
        <w:rPr>
          <w:sz w:val="24"/>
          <w:szCs w:val="24"/>
        </w:rPr>
        <w:t xml:space="preserve">The sensitivity and specificity achieved in a well-designed RT-PCR make it an ideal tool for use in the surveillance and monitoring of covert infections. It has been used to detect and identify the speciﬁc G and P genotypes present in rotavirus </w:t>
      </w:r>
      <w:r w:rsidR="00442C2C">
        <w:rPr>
          <w:rStyle w:val="citation"/>
          <w:sz w:val="24"/>
          <w:szCs w:val="24"/>
        </w:rPr>
        <w:t>(</w:t>
      </w:r>
      <w:proofErr w:type="spellStart"/>
      <w:r w:rsidR="00442C2C">
        <w:rPr>
          <w:rStyle w:val="citation"/>
          <w:sz w:val="24"/>
          <w:szCs w:val="24"/>
        </w:rPr>
        <w:t>Harim</w:t>
      </w:r>
      <w:r w:rsidR="00CF2A24" w:rsidRPr="00561279">
        <w:rPr>
          <w:rStyle w:val="citation"/>
          <w:sz w:val="24"/>
          <w:szCs w:val="24"/>
        </w:rPr>
        <w:t>ohan</w:t>
      </w:r>
      <w:proofErr w:type="spellEnd"/>
      <w:r w:rsidR="00CF2A24" w:rsidRPr="00561279">
        <w:rPr>
          <w:rStyle w:val="citation"/>
          <w:sz w:val="24"/>
          <w:szCs w:val="24"/>
        </w:rPr>
        <w:t>, et al., 2012)</w:t>
      </w:r>
      <w:r w:rsidR="00CF2A24" w:rsidRPr="00561279">
        <w:rPr>
          <w:sz w:val="24"/>
          <w:szCs w:val="24"/>
          <w:lang w:val="en-GB"/>
        </w:rPr>
        <w:t>.</w:t>
      </w:r>
      <w:r w:rsidR="00690E4B">
        <w:rPr>
          <w:sz w:val="24"/>
          <w:szCs w:val="24"/>
          <w:lang w:val="en-GB"/>
        </w:rPr>
        <w:t xml:space="preserve"> Similarly, segment 2 and segment 6 based RT-PCR has been standardized for BTV diagnosis </w:t>
      </w:r>
      <w:r w:rsidR="00DE3D45" w:rsidRPr="00DE3D45">
        <w:rPr>
          <w:sz w:val="24"/>
          <w:szCs w:val="24"/>
          <w:lang w:val="en-GB"/>
        </w:rPr>
        <w:t>(Kumar et al., 2013; Ranjan et al., 2013; 2014a, b).</w:t>
      </w:r>
    </w:p>
    <w:p w:rsidR="00CF2A24" w:rsidRPr="006949BD" w:rsidRDefault="00CF2A24" w:rsidP="00CF2A24">
      <w:pPr>
        <w:pStyle w:val="Heading2"/>
        <w:numPr>
          <w:ilvl w:val="0"/>
          <w:numId w:val="0"/>
        </w:numPr>
        <w:spacing w:before="100" w:beforeAutospacing="1" w:after="100" w:afterAutospacing="1" w:line="276" w:lineRule="auto"/>
        <w:rPr>
          <w:b/>
          <w:bCs/>
          <w:i w:val="0"/>
          <w:iCs w:val="0"/>
          <w:sz w:val="24"/>
          <w:szCs w:val="24"/>
        </w:rPr>
      </w:pPr>
      <w:r w:rsidRPr="006949BD">
        <w:rPr>
          <w:b/>
          <w:bCs/>
          <w:i w:val="0"/>
          <w:iCs w:val="0"/>
          <w:sz w:val="24"/>
          <w:szCs w:val="24"/>
        </w:rPr>
        <w:t>4. Poly acrylamide gel electrophoresis (PAGE) Analysis</w:t>
      </w:r>
    </w:p>
    <w:p w:rsidR="00CF2A24" w:rsidRPr="00561279" w:rsidRDefault="00CF2A24" w:rsidP="00CF2A24">
      <w:pPr>
        <w:spacing w:before="100" w:beforeAutospacing="1" w:after="100" w:afterAutospacing="1" w:line="276" w:lineRule="auto"/>
        <w:jc w:val="both"/>
        <w:rPr>
          <w:sz w:val="24"/>
          <w:szCs w:val="24"/>
        </w:rPr>
      </w:pPr>
      <w:r w:rsidRPr="00561279">
        <w:rPr>
          <w:rFonts w:eastAsia="Calibri"/>
          <w:sz w:val="24"/>
          <w:szCs w:val="24"/>
          <w:lang w:val="en-IN"/>
        </w:rPr>
        <w:t xml:space="preserve">The RNA-PAGE has been used as a confirmatory tool for the identification of segmented </w:t>
      </w:r>
      <w:proofErr w:type="spellStart"/>
      <w:r w:rsidRPr="00561279">
        <w:rPr>
          <w:rFonts w:eastAsia="Calibri"/>
          <w:sz w:val="24"/>
          <w:szCs w:val="24"/>
          <w:lang w:val="en-IN"/>
        </w:rPr>
        <w:t>dsRNA</w:t>
      </w:r>
      <w:proofErr w:type="spellEnd"/>
      <w:r w:rsidRPr="00561279">
        <w:rPr>
          <w:rFonts w:eastAsia="Calibri"/>
          <w:sz w:val="24"/>
          <w:szCs w:val="24"/>
          <w:lang w:val="en-IN"/>
        </w:rPr>
        <w:t xml:space="preserve"> viruses such as Rota virus and bluetongue virus. Viral </w:t>
      </w:r>
      <w:proofErr w:type="spellStart"/>
      <w:r w:rsidRPr="00561279">
        <w:rPr>
          <w:rFonts w:eastAsia="Calibri"/>
          <w:sz w:val="24"/>
          <w:szCs w:val="24"/>
          <w:lang w:val="en-IN"/>
        </w:rPr>
        <w:t>dsRNA</w:t>
      </w:r>
      <w:proofErr w:type="spellEnd"/>
      <w:r w:rsidRPr="00561279">
        <w:rPr>
          <w:rFonts w:eastAsia="Calibri"/>
          <w:sz w:val="24"/>
          <w:szCs w:val="24"/>
          <w:lang w:val="en-IN"/>
        </w:rPr>
        <w:t xml:space="preserve"> are extracted either from cell culture grown samples or directly from various biological samples such as blood, semen or vector. The </w:t>
      </w:r>
      <w:proofErr w:type="spellStart"/>
      <w:r w:rsidRPr="00561279">
        <w:rPr>
          <w:rFonts w:eastAsia="Calibri"/>
          <w:sz w:val="24"/>
          <w:szCs w:val="24"/>
          <w:lang w:val="en-IN"/>
        </w:rPr>
        <w:t>dsRNA</w:t>
      </w:r>
      <w:proofErr w:type="spellEnd"/>
      <w:r w:rsidRPr="00561279">
        <w:rPr>
          <w:rFonts w:eastAsia="Calibri"/>
          <w:sz w:val="24"/>
          <w:szCs w:val="24"/>
          <w:lang w:val="en-IN"/>
        </w:rPr>
        <w:t xml:space="preserve"> can be </w:t>
      </w:r>
      <w:proofErr w:type="spellStart"/>
      <w:r w:rsidRPr="00561279">
        <w:rPr>
          <w:rFonts w:eastAsia="Calibri"/>
          <w:sz w:val="24"/>
          <w:szCs w:val="24"/>
          <w:lang w:val="en-IN"/>
        </w:rPr>
        <w:t>analyzed</w:t>
      </w:r>
      <w:proofErr w:type="spellEnd"/>
      <w:r w:rsidRPr="00561279">
        <w:rPr>
          <w:rFonts w:eastAsia="Calibri"/>
          <w:sz w:val="24"/>
          <w:szCs w:val="24"/>
          <w:lang w:val="en-IN"/>
        </w:rPr>
        <w:t xml:space="preserve"> by 8% RNA-PAGE followed by silver staining using the discontinuous buffer system without SDS (</w:t>
      </w:r>
      <w:proofErr w:type="spellStart"/>
      <w:r w:rsidRPr="00561279">
        <w:rPr>
          <w:rFonts w:eastAsia="Calibri"/>
          <w:sz w:val="24"/>
          <w:szCs w:val="24"/>
          <w:lang w:val="en-IN"/>
        </w:rPr>
        <w:t>Laemmli</w:t>
      </w:r>
      <w:proofErr w:type="spellEnd"/>
      <w:r w:rsidRPr="00561279">
        <w:rPr>
          <w:rFonts w:eastAsia="Calibri"/>
          <w:sz w:val="24"/>
          <w:szCs w:val="24"/>
          <w:lang w:val="en-IN"/>
        </w:rPr>
        <w:t xml:space="preserve">, 1970; </w:t>
      </w:r>
      <w:proofErr w:type="spellStart"/>
      <w:r w:rsidRPr="00561279">
        <w:rPr>
          <w:rFonts w:eastAsia="Calibri"/>
          <w:sz w:val="24"/>
          <w:szCs w:val="24"/>
          <w:lang w:val="en-IN"/>
        </w:rPr>
        <w:t>Svensson</w:t>
      </w:r>
      <w:proofErr w:type="spellEnd"/>
      <w:r w:rsidRPr="00561279">
        <w:rPr>
          <w:rFonts w:eastAsia="Calibri"/>
          <w:sz w:val="24"/>
          <w:szCs w:val="24"/>
          <w:lang w:val="en-IN"/>
        </w:rPr>
        <w:t xml:space="preserve"> </w:t>
      </w:r>
      <w:r w:rsidRPr="00561279">
        <w:rPr>
          <w:rFonts w:eastAsia="Calibri"/>
          <w:i/>
          <w:sz w:val="24"/>
          <w:szCs w:val="24"/>
          <w:lang w:val="en-IN"/>
        </w:rPr>
        <w:t>et al.,</w:t>
      </w:r>
      <w:r w:rsidRPr="00561279">
        <w:rPr>
          <w:rFonts w:eastAsia="Calibri"/>
          <w:sz w:val="24"/>
          <w:szCs w:val="24"/>
          <w:lang w:val="en-IN"/>
        </w:rPr>
        <w:t xml:space="preserve"> 1986). Recently, a highly sensitive silver staining method for BTV has been developed (Minakshi et al., 2013).</w:t>
      </w:r>
      <w:r w:rsidR="008C3A76">
        <w:rPr>
          <w:rFonts w:eastAsia="Calibri"/>
          <w:sz w:val="24"/>
          <w:szCs w:val="24"/>
          <w:lang w:val="en-IN"/>
        </w:rPr>
        <w:t xml:space="preserve"> </w:t>
      </w:r>
      <w:r w:rsidRPr="00561279">
        <w:rPr>
          <w:rFonts w:eastAsia="Calibri"/>
          <w:sz w:val="24"/>
          <w:szCs w:val="24"/>
          <w:lang w:val="en-IN"/>
        </w:rPr>
        <w:t xml:space="preserve">The characteristic genomes of Rota virus or BTV are visualized after silver staining (Minakshi </w:t>
      </w:r>
      <w:r w:rsidRPr="001515D7">
        <w:rPr>
          <w:rFonts w:eastAsia="Calibri"/>
          <w:iCs/>
          <w:sz w:val="24"/>
          <w:szCs w:val="24"/>
          <w:lang w:val="en-IN"/>
        </w:rPr>
        <w:t>et al</w:t>
      </w:r>
      <w:r w:rsidRPr="00561279">
        <w:rPr>
          <w:rFonts w:eastAsia="Calibri"/>
          <w:i/>
          <w:sz w:val="24"/>
          <w:szCs w:val="24"/>
          <w:lang w:val="en-IN"/>
        </w:rPr>
        <w:t>.,</w:t>
      </w:r>
      <w:r w:rsidRPr="00561279">
        <w:rPr>
          <w:rFonts w:eastAsia="Calibri"/>
          <w:sz w:val="24"/>
          <w:szCs w:val="24"/>
          <w:lang w:val="en-IN"/>
        </w:rPr>
        <w:t xml:space="preserve"> 2011</w:t>
      </w:r>
      <w:r w:rsidR="00EC6BAA">
        <w:rPr>
          <w:rFonts w:eastAsia="Calibri"/>
          <w:sz w:val="24"/>
          <w:szCs w:val="24"/>
          <w:lang w:val="en-IN"/>
        </w:rPr>
        <w:t>a</w:t>
      </w:r>
      <w:r w:rsidRPr="00561279">
        <w:rPr>
          <w:rFonts w:eastAsia="Calibri"/>
          <w:sz w:val="24"/>
          <w:szCs w:val="24"/>
          <w:lang w:val="en-IN"/>
        </w:rPr>
        <w:t xml:space="preserve">) (Fig. </w:t>
      </w:r>
      <w:r w:rsidR="002735CC">
        <w:rPr>
          <w:rFonts w:eastAsia="Calibri"/>
          <w:sz w:val="24"/>
          <w:szCs w:val="24"/>
          <w:lang w:val="en-IN"/>
        </w:rPr>
        <w:t>9</w:t>
      </w:r>
      <w:r w:rsidRPr="00561279">
        <w:rPr>
          <w:rFonts w:eastAsia="Calibri"/>
          <w:sz w:val="24"/>
          <w:szCs w:val="24"/>
          <w:lang w:val="en-IN"/>
        </w:rPr>
        <w:t>). RNA-PAGE is a sensitive test and can detect up to 10</w:t>
      </w:r>
      <w:r w:rsidRPr="00561279">
        <w:rPr>
          <w:rFonts w:eastAsia="Calibri"/>
          <w:sz w:val="24"/>
          <w:szCs w:val="24"/>
          <w:vertAlign w:val="superscript"/>
          <w:lang w:val="en-IN"/>
        </w:rPr>
        <w:t>5</w:t>
      </w:r>
      <w:r w:rsidRPr="00561279">
        <w:rPr>
          <w:rFonts w:eastAsia="Calibri"/>
          <w:sz w:val="24"/>
          <w:szCs w:val="24"/>
          <w:lang w:val="en-IN"/>
        </w:rPr>
        <w:t xml:space="preserve"> TCID</w:t>
      </w:r>
      <w:r w:rsidRPr="00561279">
        <w:rPr>
          <w:rFonts w:eastAsia="Calibri"/>
          <w:sz w:val="24"/>
          <w:szCs w:val="24"/>
          <w:vertAlign w:val="subscript"/>
          <w:lang w:val="en-IN"/>
        </w:rPr>
        <w:t>50</w:t>
      </w:r>
      <w:r w:rsidRPr="00561279">
        <w:rPr>
          <w:rFonts w:eastAsia="Calibri"/>
          <w:sz w:val="24"/>
          <w:szCs w:val="24"/>
          <w:lang w:val="en-IN"/>
        </w:rPr>
        <w:t xml:space="preserve">/ml of BTV genomic segments (Prasad and Minakshi, 1999). </w:t>
      </w:r>
      <w:r w:rsidRPr="00561279">
        <w:rPr>
          <w:sz w:val="24"/>
          <w:szCs w:val="24"/>
        </w:rPr>
        <w:t xml:space="preserve">RNA-PAGE can be used for </w:t>
      </w:r>
      <w:proofErr w:type="spellStart"/>
      <w:r w:rsidRPr="00561279">
        <w:rPr>
          <w:sz w:val="24"/>
          <w:szCs w:val="24"/>
        </w:rPr>
        <w:t>electropherotyping</w:t>
      </w:r>
      <w:proofErr w:type="spellEnd"/>
      <w:r w:rsidRPr="00561279">
        <w:rPr>
          <w:sz w:val="24"/>
          <w:szCs w:val="24"/>
        </w:rPr>
        <w:t xml:space="preserve"> in rotavirus</w:t>
      </w:r>
      <w:r w:rsidRPr="00561279">
        <w:rPr>
          <w:sz w:val="24"/>
          <w:szCs w:val="24"/>
          <w:lang w:val="en-GB"/>
        </w:rPr>
        <w:t xml:space="preserve"> </w:t>
      </w:r>
      <w:r w:rsidRPr="00561279">
        <w:rPr>
          <w:sz w:val="24"/>
          <w:szCs w:val="24"/>
        </w:rPr>
        <w:t>(</w:t>
      </w:r>
      <w:proofErr w:type="spellStart"/>
      <w:r w:rsidRPr="00561279">
        <w:rPr>
          <w:rStyle w:val="citation"/>
          <w:sz w:val="24"/>
          <w:szCs w:val="24"/>
        </w:rPr>
        <w:t>Hari</w:t>
      </w:r>
      <w:r w:rsidR="000E03C8">
        <w:rPr>
          <w:rStyle w:val="citation"/>
          <w:sz w:val="24"/>
          <w:szCs w:val="24"/>
        </w:rPr>
        <w:t>m</w:t>
      </w:r>
      <w:r w:rsidRPr="00561279">
        <w:rPr>
          <w:rStyle w:val="citation"/>
          <w:sz w:val="24"/>
          <w:szCs w:val="24"/>
        </w:rPr>
        <w:t>ohan</w:t>
      </w:r>
      <w:proofErr w:type="spellEnd"/>
      <w:r w:rsidRPr="00561279">
        <w:rPr>
          <w:rStyle w:val="citation"/>
          <w:sz w:val="24"/>
          <w:szCs w:val="24"/>
        </w:rPr>
        <w:t xml:space="preserve"> et al., 2012</w:t>
      </w:r>
      <w:r w:rsidRPr="00561279">
        <w:rPr>
          <w:sz w:val="24"/>
          <w:szCs w:val="24"/>
        </w:rPr>
        <w:t xml:space="preserve">) where several distinct RNA </w:t>
      </w:r>
      <w:r w:rsidR="00237D5D">
        <w:rPr>
          <w:sz w:val="24"/>
          <w:szCs w:val="24"/>
        </w:rPr>
        <w:t>patterns can be observed (Fig.9</w:t>
      </w:r>
      <w:r w:rsidRPr="00561279">
        <w:rPr>
          <w:sz w:val="24"/>
          <w:szCs w:val="24"/>
        </w:rPr>
        <w:t>) while SDS-PAGE can be used for</w:t>
      </w:r>
      <w:r w:rsidR="00104671">
        <w:rPr>
          <w:sz w:val="24"/>
          <w:szCs w:val="24"/>
        </w:rPr>
        <w:t xml:space="preserve"> visualization of </w:t>
      </w:r>
      <w:r w:rsidR="00104671" w:rsidRPr="00561279">
        <w:rPr>
          <w:sz w:val="24"/>
          <w:szCs w:val="24"/>
        </w:rPr>
        <w:t>recombinant</w:t>
      </w:r>
      <w:r w:rsidRPr="00561279">
        <w:rPr>
          <w:sz w:val="24"/>
          <w:szCs w:val="24"/>
        </w:rPr>
        <w:t xml:space="preserve"> protein </w:t>
      </w:r>
      <w:r w:rsidR="00237D5D">
        <w:rPr>
          <w:sz w:val="24"/>
          <w:szCs w:val="24"/>
        </w:rPr>
        <w:t>expression (Fig.</w:t>
      </w:r>
      <w:r w:rsidR="009C140B">
        <w:rPr>
          <w:sz w:val="24"/>
          <w:szCs w:val="24"/>
        </w:rPr>
        <w:t xml:space="preserve"> </w:t>
      </w:r>
      <w:r w:rsidR="00237D5D">
        <w:rPr>
          <w:sz w:val="24"/>
          <w:szCs w:val="24"/>
        </w:rPr>
        <w:t>10</w:t>
      </w:r>
      <w:r w:rsidRPr="00561279">
        <w:rPr>
          <w:sz w:val="24"/>
          <w:szCs w:val="24"/>
        </w:rPr>
        <w:t>).</w:t>
      </w:r>
    </w:p>
    <w:p w:rsidR="00CF2A24" w:rsidRPr="006949BD" w:rsidRDefault="00CF2A24" w:rsidP="00CF2A24">
      <w:pPr>
        <w:pStyle w:val="Heading2"/>
        <w:numPr>
          <w:ilvl w:val="0"/>
          <w:numId w:val="0"/>
        </w:numPr>
        <w:spacing w:before="100" w:beforeAutospacing="1" w:after="100" w:afterAutospacing="1" w:line="276" w:lineRule="auto"/>
        <w:rPr>
          <w:b/>
          <w:bCs/>
          <w:i w:val="0"/>
          <w:iCs w:val="0"/>
          <w:sz w:val="24"/>
          <w:szCs w:val="24"/>
        </w:rPr>
      </w:pPr>
      <w:r w:rsidRPr="006949BD">
        <w:rPr>
          <w:b/>
          <w:bCs/>
          <w:i w:val="0"/>
          <w:iCs w:val="0"/>
          <w:sz w:val="24"/>
          <w:szCs w:val="24"/>
        </w:rPr>
        <w:t>5. Real-Time PCR</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A more recent development is the appli</w:t>
      </w:r>
      <w:r w:rsidR="001C5B6E">
        <w:rPr>
          <w:sz w:val="24"/>
          <w:szCs w:val="24"/>
        </w:rPr>
        <w:t>cation of real-time PCR (Fig. 11</w:t>
      </w:r>
      <w:r w:rsidRPr="00561279">
        <w:rPr>
          <w:sz w:val="24"/>
          <w:szCs w:val="24"/>
        </w:rPr>
        <w:t xml:space="preserve">) in which the concentration of the PCR product is measured as the reaction proceeds, enabling the viral load within a sample to be measured. </w:t>
      </w:r>
      <w:r w:rsidR="00746E5B">
        <w:rPr>
          <w:sz w:val="24"/>
          <w:szCs w:val="24"/>
        </w:rPr>
        <w:t>Real-time</w:t>
      </w:r>
      <w:r w:rsidR="00746E5B" w:rsidRPr="00746E5B">
        <w:rPr>
          <w:sz w:val="24"/>
          <w:szCs w:val="24"/>
        </w:rPr>
        <w:t xml:space="preserve"> PCR is carried out in a thermal cycler with the capacity to illuminate sample with a beam of light of a specified wavelength and detect the fluorescence emitted by the excited </w:t>
      </w:r>
      <w:proofErr w:type="spellStart"/>
      <w:r w:rsidR="00746E5B" w:rsidRPr="00746E5B">
        <w:rPr>
          <w:sz w:val="24"/>
          <w:szCs w:val="24"/>
        </w:rPr>
        <w:t>fluorophore</w:t>
      </w:r>
      <w:proofErr w:type="spellEnd"/>
      <w:r w:rsidR="00746E5B" w:rsidRPr="00746E5B">
        <w:rPr>
          <w:sz w:val="24"/>
          <w:szCs w:val="24"/>
        </w:rPr>
        <w:t xml:space="preserve">. The thermal cycler is also able to rapidly heat and chill samples, thereby taking advantage of the physicochemical properties of the nucleic acids and DNA polymerase. </w:t>
      </w:r>
      <w:r w:rsidRPr="00561279">
        <w:rPr>
          <w:sz w:val="24"/>
          <w:szCs w:val="24"/>
        </w:rPr>
        <w:t xml:space="preserve">Real-time RT-PCR is a highly sensitive method that can be used for the laboratory detection of viral RNA from a variety of biological samples. During the real-time RT-PCR reaction, viral RNA is reverse transcribed into cDNA and subsequently amplified. A </w:t>
      </w:r>
      <w:proofErr w:type="spellStart"/>
      <w:r w:rsidRPr="00561279">
        <w:rPr>
          <w:sz w:val="24"/>
          <w:szCs w:val="24"/>
        </w:rPr>
        <w:t>fluorogenic</w:t>
      </w:r>
      <w:proofErr w:type="spellEnd"/>
      <w:r w:rsidRPr="00561279">
        <w:rPr>
          <w:sz w:val="24"/>
          <w:szCs w:val="24"/>
        </w:rPr>
        <w:t xml:space="preserve"> signal from </w:t>
      </w:r>
      <w:proofErr w:type="spellStart"/>
      <w:r w:rsidRPr="00561279">
        <w:rPr>
          <w:sz w:val="24"/>
          <w:szCs w:val="24"/>
        </w:rPr>
        <w:t>labelled</w:t>
      </w:r>
      <w:proofErr w:type="spellEnd"/>
      <w:r w:rsidRPr="00561279">
        <w:rPr>
          <w:sz w:val="24"/>
          <w:szCs w:val="24"/>
        </w:rPr>
        <w:t xml:space="preserve"> probe is released during amplification and recorded in real time. The primers and probe combination for each real-time RT-PCR reaction are designed to amplify and detect a targeted region of the BTV genome such as </w:t>
      </w:r>
      <w:r w:rsidR="00574BF8">
        <w:rPr>
          <w:sz w:val="24"/>
          <w:szCs w:val="24"/>
        </w:rPr>
        <w:t>ns</w:t>
      </w:r>
      <w:r w:rsidRPr="00561279">
        <w:rPr>
          <w:sz w:val="24"/>
          <w:szCs w:val="24"/>
        </w:rPr>
        <w:t>1 gene (</w:t>
      </w:r>
      <w:proofErr w:type="spellStart"/>
      <w:r w:rsidRPr="00561279">
        <w:rPr>
          <w:sz w:val="24"/>
          <w:szCs w:val="24"/>
        </w:rPr>
        <w:t>Vishwaradhya</w:t>
      </w:r>
      <w:proofErr w:type="spellEnd"/>
      <w:r w:rsidRPr="00561279">
        <w:rPr>
          <w:sz w:val="24"/>
          <w:szCs w:val="24"/>
        </w:rPr>
        <w:t xml:space="preserve"> </w:t>
      </w:r>
      <w:r w:rsidRPr="00561279">
        <w:rPr>
          <w:i/>
          <w:iCs/>
          <w:sz w:val="24"/>
          <w:szCs w:val="24"/>
        </w:rPr>
        <w:t>et al</w:t>
      </w:r>
      <w:r w:rsidRPr="00561279">
        <w:rPr>
          <w:sz w:val="24"/>
          <w:szCs w:val="24"/>
        </w:rPr>
        <w:t>., 2013).</w:t>
      </w:r>
    </w:p>
    <w:p w:rsidR="00CF2A24" w:rsidRPr="006949BD" w:rsidRDefault="00CF2A24" w:rsidP="00CF2A24">
      <w:pPr>
        <w:pStyle w:val="Heading2"/>
        <w:numPr>
          <w:ilvl w:val="0"/>
          <w:numId w:val="0"/>
        </w:numPr>
        <w:spacing w:before="100" w:beforeAutospacing="1" w:after="100" w:afterAutospacing="1" w:line="276" w:lineRule="auto"/>
        <w:rPr>
          <w:b/>
          <w:bCs/>
          <w:i w:val="0"/>
          <w:iCs w:val="0"/>
          <w:sz w:val="24"/>
          <w:szCs w:val="24"/>
        </w:rPr>
      </w:pPr>
      <w:r w:rsidRPr="006949BD">
        <w:rPr>
          <w:b/>
          <w:bCs/>
          <w:i w:val="0"/>
          <w:iCs w:val="0"/>
          <w:sz w:val="24"/>
          <w:szCs w:val="24"/>
        </w:rPr>
        <w:t>6. Multiplex PCR</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 xml:space="preserve">In conventional multiplex PCR, several primer sets are used to allow amplification of multiple templates within a single reaction. It has been used for veterinary diagnostics for </w:t>
      </w:r>
      <w:r w:rsidRPr="00561279">
        <w:rPr>
          <w:sz w:val="24"/>
          <w:szCs w:val="24"/>
        </w:rPr>
        <w:lastRenderedPageBreak/>
        <w:t>feline herpes virus, porcine epidemic diarrhea virus and transmissible gastroenteritis virus. Multiplex PCR enables the presence of nucleic acids from several pathogens to be checked for in one test, but care must be taken to avoid interference between primer pairs or templates. It is time and cost-efficient method and has been successfully applied in many areas of nucleic acid diagnostics, including gene deletion analysis (</w:t>
      </w:r>
      <w:proofErr w:type="spellStart"/>
      <w:r w:rsidRPr="00561279">
        <w:rPr>
          <w:sz w:val="24"/>
          <w:szCs w:val="24"/>
          <w:lang w:val="en-GB"/>
        </w:rPr>
        <w:t>Satish</w:t>
      </w:r>
      <w:proofErr w:type="spellEnd"/>
      <w:r w:rsidRPr="00561279">
        <w:rPr>
          <w:sz w:val="24"/>
          <w:szCs w:val="24"/>
          <w:lang w:val="en-GB"/>
        </w:rPr>
        <w:t xml:space="preserve"> et al., 2011</w:t>
      </w:r>
      <w:r w:rsidRPr="00561279">
        <w:rPr>
          <w:sz w:val="24"/>
          <w:szCs w:val="24"/>
        </w:rPr>
        <w:t>)</w:t>
      </w:r>
      <w:r w:rsidRPr="00561279">
        <w:rPr>
          <w:sz w:val="24"/>
          <w:szCs w:val="24"/>
          <w:lang w:val="en-GB"/>
        </w:rPr>
        <w:t>.</w:t>
      </w:r>
      <w:r w:rsidR="00EE20CF">
        <w:rPr>
          <w:sz w:val="24"/>
          <w:szCs w:val="24"/>
          <w:lang w:val="en-GB"/>
        </w:rPr>
        <w:t xml:space="preserve"> Segment 6 based multiplex PCR for simultaneously detection of </w:t>
      </w:r>
      <w:r w:rsidR="00BF3AC6">
        <w:rPr>
          <w:sz w:val="24"/>
          <w:szCs w:val="24"/>
          <w:lang w:val="en-GB"/>
        </w:rPr>
        <w:t xml:space="preserve">Indian isolates of </w:t>
      </w:r>
      <w:r w:rsidR="00EE20CF">
        <w:rPr>
          <w:sz w:val="24"/>
          <w:szCs w:val="24"/>
          <w:lang w:val="en-GB"/>
        </w:rPr>
        <w:t>BTV serotype 1, 2, 10, 16 and 23 has been standardized (</w:t>
      </w:r>
      <w:proofErr w:type="spellStart"/>
      <w:r w:rsidR="001D3A4D" w:rsidRPr="001D3A4D">
        <w:rPr>
          <w:sz w:val="24"/>
          <w:szCs w:val="24"/>
          <w:lang w:val="en-GB"/>
        </w:rPr>
        <w:t>Surendar</w:t>
      </w:r>
      <w:proofErr w:type="spellEnd"/>
      <w:r w:rsidR="00EE20CF">
        <w:rPr>
          <w:sz w:val="24"/>
          <w:szCs w:val="24"/>
          <w:lang w:val="en-GB"/>
        </w:rPr>
        <w:t xml:space="preserve"> and Reddy, 2012).</w:t>
      </w:r>
    </w:p>
    <w:p w:rsidR="00CF2A24" w:rsidRPr="006949BD" w:rsidRDefault="00CF2A24" w:rsidP="00CF2A24">
      <w:pPr>
        <w:pStyle w:val="Heading2"/>
        <w:numPr>
          <w:ilvl w:val="0"/>
          <w:numId w:val="0"/>
        </w:numPr>
        <w:spacing w:before="100" w:beforeAutospacing="1" w:after="100" w:afterAutospacing="1" w:line="276" w:lineRule="auto"/>
        <w:rPr>
          <w:b/>
          <w:bCs/>
          <w:i w:val="0"/>
          <w:iCs w:val="0"/>
          <w:sz w:val="24"/>
          <w:szCs w:val="24"/>
        </w:rPr>
      </w:pPr>
      <w:r w:rsidRPr="006949BD">
        <w:rPr>
          <w:b/>
          <w:bCs/>
          <w:i w:val="0"/>
          <w:iCs w:val="0"/>
          <w:sz w:val="24"/>
          <w:szCs w:val="24"/>
        </w:rPr>
        <w:t>7. Multiplex Real-Time PCR</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 xml:space="preserve">The term multiplex real-time PCR is used to describe the use of two to four </w:t>
      </w:r>
      <w:proofErr w:type="spellStart"/>
      <w:r w:rsidRPr="00561279">
        <w:rPr>
          <w:sz w:val="24"/>
          <w:szCs w:val="24"/>
        </w:rPr>
        <w:t>fluorogenic</w:t>
      </w:r>
      <w:proofErr w:type="spellEnd"/>
      <w:r w:rsidRPr="00561279">
        <w:rPr>
          <w:sz w:val="24"/>
          <w:szCs w:val="24"/>
        </w:rPr>
        <w:t xml:space="preserve"> </w:t>
      </w:r>
      <w:proofErr w:type="spellStart"/>
      <w:r w:rsidRPr="00561279">
        <w:rPr>
          <w:sz w:val="24"/>
          <w:szCs w:val="24"/>
        </w:rPr>
        <w:t>oligoprobes</w:t>
      </w:r>
      <w:proofErr w:type="spellEnd"/>
      <w:r w:rsidRPr="00561279">
        <w:rPr>
          <w:sz w:val="24"/>
          <w:szCs w:val="24"/>
        </w:rPr>
        <w:t xml:space="preserve"> for the discrimination of multiple amplicon. To date, there have been only a few truly multiplexed real-time PCR assays described in the literature. The use of non-fluorescent quenchers and the continuous development of better light sources in the machines are now in use and first applications for virus detection are becoming available (Read et al., 2011).</w:t>
      </w:r>
    </w:p>
    <w:p w:rsidR="00CF2A24" w:rsidRPr="006949BD" w:rsidRDefault="00CF2A24" w:rsidP="00CF2A24">
      <w:pPr>
        <w:pStyle w:val="Heading2"/>
        <w:numPr>
          <w:ilvl w:val="0"/>
          <w:numId w:val="0"/>
        </w:numPr>
        <w:spacing w:before="100" w:beforeAutospacing="1" w:after="100" w:afterAutospacing="1" w:line="276" w:lineRule="auto"/>
        <w:rPr>
          <w:b/>
          <w:i w:val="0"/>
          <w:iCs w:val="0"/>
          <w:sz w:val="24"/>
          <w:szCs w:val="24"/>
        </w:rPr>
      </w:pPr>
      <w:r w:rsidRPr="006949BD">
        <w:rPr>
          <w:b/>
          <w:i w:val="0"/>
          <w:iCs w:val="0"/>
          <w:sz w:val="24"/>
          <w:szCs w:val="24"/>
        </w:rPr>
        <w:t>8. Restriction Fragment Length Polymorphism (RFLP)</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RFLP is a technique in which organisms may be differentiated by analysis of patterns derived from cleavage of their DNA. Isolation of sufficient DNA for RFLP analysis is time-consuming and labor intensive. However, PCR can be used to amplify very small amounts of DNA, usually in 2-3 hours, to the levels required for RFLP analysis. Therefore, more samples can be analyzed in a shorter time. RFLP was used to differentiate the</w:t>
      </w:r>
      <w:r w:rsidR="00F15C9F">
        <w:rPr>
          <w:sz w:val="24"/>
          <w:szCs w:val="24"/>
        </w:rPr>
        <w:t xml:space="preserve"> Canine Parvovirus2</w:t>
      </w:r>
      <w:r w:rsidRPr="00561279">
        <w:rPr>
          <w:sz w:val="24"/>
          <w:szCs w:val="24"/>
        </w:rPr>
        <w:t xml:space="preserve"> </w:t>
      </w:r>
      <w:r w:rsidR="00F15C9F">
        <w:rPr>
          <w:sz w:val="24"/>
          <w:szCs w:val="24"/>
        </w:rPr>
        <w:t>(</w:t>
      </w:r>
      <w:r w:rsidRPr="00561279">
        <w:rPr>
          <w:sz w:val="24"/>
          <w:szCs w:val="24"/>
        </w:rPr>
        <w:t>CPV-2</w:t>
      </w:r>
      <w:r w:rsidR="00F15C9F">
        <w:rPr>
          <w:sz w:val="24"/>
          <w:szCs w:val="24"/>
        </w:rPr>
        <w:t>)</w:t>
      </w:r>
      <w:r w:rsidRPr="00561279">
        <w:rPr>
          <w:sz w:val="24"/>
          <w:szCs w:val="24"/>
        </w:rPr>
        <w:t xml:space="preserve"> antigenic variants (</w:t>
      </w:r>
      <w:proofErr w:type="spellStart"/>
      <w:r w:rsidRPr="00561279">
        <w:rPr>
          <w:sz w:val="24"/>
          <w:szCs w:val="24"/>
        </w:rPr>
        <w:t>Savi</w:t>
      </w:r>
      <w:proofErr w:type="spellEnd"/>
      <w:r w:rsidRPr="00561279">
        <w:rPr>
          <w:sz w:val="24"/>
          <w:szCs w:val="24"/>
        </w:rPr>
        <w:t xml:space="preserve"> et al., 2009) (Fig.1</w:t>
      </w:r>
      <w:r w:rsidR="00FA2D7E">
        <w:rPr>
          <w:sz w:val="24"/>
          <w:szCs w:val="24"/>
        </w:rPr>
        <w:t>2</w:t>
      </w:r>
      <w:r w:rsidRPr="00561279">
        <w:rPr>
          <w:sz w:val="24"/>
          <w:szCs w:val="24"/>
        </w:rPr>
        <w:t>).</w:t>
      </w:r>
    </w:p>
    <w:p w:rsidR="00CF2A24" w:rsidRPr="006949BD" w:rsidRDefault="00CF2A24" w:rsidP="00CF2A24">
      <w:pPr>
        <w:pStyle w:val="Heading2"/>
        <w:numPr>
          <w:ilvl w:val="0"/>
          <w:numId w:val="0"/>
        </w:numPr>
        <w:spacing w:before="100" w:beforeAutospacing="1" w:after="100" w:afterAutospacing="1" w:line="276" w:lineRule="auto"/>
        <w:rPr>
          <w:b/>
          <w:i w:val="0"/>
          <w:iCs w:val="0"/>
          <w:sz w:val="24"/>
          <w:szCs w:val="24"/>
        </w:rPr>
      </w:pPr>
      <w:r w:rsidRPr="006949BD">
        <w:rPr>
          <w:b/>
          <w:i w:val="0"/>
          <w:iCs w:val="0"/>
          <w:sz w:val="24"/>
          <w:szCs w:val="24"/>
        </w:rPr>
        <w:t>9. DNA microarrays</w:t>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 xml:space="preserve">DNA microarrays can be used for the detection of unique DNA (or RNA) sequences and thus can prove useful in the future for diseases diagnosis. Microarrays offer advantages of high sensitivity, rapid detection, lower cost, automation, and low background levels in compared to conventional tests. In this technique the known DNA i.e. the target, is </w:t>
      </w:r>
      <w:proofErr w:type="spellStart"/>
      <w:r w:rsidRPr="00561279">
        <w:rPr>
          <w:sz w:val="24"/>
          <w:szCs w:val="24"/>
        </w:rPr>
        <w:t>immobilised</w:t>
      </w:r>
      <w:proofErr w:type="spellEnd"/>
      <w:r w:rsidRPr="00561279">
        <w:rPr>
          <w:sz w:val="24"/>
          <w:szCs w:val="24"/>
        </w:rPr>
        <w:t xml:space="preserve"> on small solid supports such as glass slides, silicon chips or nylon membranes, and the unknown DNA, in the liquid phase, is </w:t>
      </w:r>
      <w:proofErr w:type="spellStart"/>
      <w:r w:rsidRPr="00561279">
        <w:rPr>
          <w:sz w:val="24"/>
          <w:szCs w:val="24"/>
        </w:rPr>
        <w:t>labelled</w:t>
      </w:r>
      <w:proofErr w:type="spellEnd"/>
      <w:r w:rsidRPr="00561279">
        <w:rPr>
          <w:sz w:val="24"/>
          <w:szCs w:val="24"/>
        </w:rPr>
        <w:t xml:space="preserve"> to make a probe. DNA or RNA is extracted from the samples, and after PCR and/or RT-PCR amplification is </w:t>
      </w:r>
      <w:proofErr w:type="spellStart"/>
      <w:r w:rsidRPr="00561279">
        <w:rPr>
          <w:sz w:val="24"/>
          <w:szCs w:val="24"/>
        </w:rPr>
        <w:t>labelled</w:t>
      </w:r>
      <w:proofErr w:type="spellEnd"/>
      <w:r w:rsidRPr="00561279">
        <w:rPr>
          <w:sz w:val="24"/>
          <w:szCs w:val="24"/>
        </w:rPr>
        <w:t xml:space="preserve"> with a ﬂuorescent dye. This labeled DNA is then hybridized with the microarray. Speciﬁc patterns of ﬂuorescence are detected by a microarray reader which allows the identiﬁcation of speciﬁc gene sequences. DNA microarrays represent a potential solution to diagnose multiple pathogens including BTV (Jack </w:t>
      </w:r>
      <w:r w:rsidRPr="00561279">
        <w:rPr>
          <w:i/>
          <w:sz w:val="24"/>
          <w:szCs w:val="24"/>
        </w:rPr>
        <w:t xml:space="preserve">et al., </w:t>
      </w:r>
      <w:r w:rsidRPr="00561279">
        <w:rPr>
          <w:sz w:val="24"/>
          <w:szCs w:val="24"/>
        </w:rPr>
        <w:t>2009).</w:t>
      </w:r>
    </w:p>
    <w:p w:rsidR="00CF2A24" w:rsidRPr="006949BD" w:rsidRDefault="00CF2A24" w:rsidP="00CF2A24">
      <w:pPr>
        <w:spacing w:before="100" w:beforeAutospacing="1" w:after="100" w:afterAutospacing="1" w:line="276" w:lineRule="auto"/>
        <w:jc w:val="both"/>
        <w:rPr>
          <w:b/>
          <w:bCs/>
          <w:sz w:val="24"/>
          <w:szCs w:val="24"/>
        </w:rPr>
      </w:pPr>
      <w:r w:rsidRPr="006949BD">
        <w:rPr>
          <w:b/>
          <w:bCs/>
          <w:sz w:val="24"/>
          <w:szCs w:val="24"/>
        </w:rPr>
        <w:t>10. Nucleic acid sequencing</w:t>
      </w:r>
    </w:p>
    <w:p w:rsidR="00CF2A24" w:rsidRPr="00561279" w:rsidRDefault="00CF2A24" w:rsidP="0011244D">
      <w:pPr>
        <w:spacing w:before="100" w:beforeAutospacing="1" w:after="60" w:line="276" w:lineRule="auto"/>
        <w:jc w:val="both"/>
        <w:rPr>
          <w:rFonts w:eastAsia="Calibri"/>
          <w:sz w:val="24"/>
          <w:szCs w:val="24"/>
          <w:lang w:val="en-IN"/>
        </w:rPr>
      </w:pPr>
      <w:r w:rsidRPr="00561279">
        <w:rPr>
          <w:rFonts w:eastAsia="Calibri"/>
          <w:sz w:val="24"/>
          <w:szCs w:val="24"/>
          <w:lang w:val="en-IN"/>
        </w:rPr>
        <w:t xml:space="preserve">Nucleic acid sequencing has provided a unique opportunity to study viral epidemiology by providing information on the potential geographical origin of particular viral isolate (Fig.11). The determination of the nucleic acid sequence may provide information on where the virus came from. The scope of nucleotide sequencing is beyond just diagnosis and characterization. </w:t>
      </w:r>
      <w:r w:rsidRPr="00561279">
        <w:rPr>
          <w:rFonts w:eastAsia="Calibri"/>
          <w:sz w:val="24"/>
          <w:szCs w:val="24"/>
          <w:lang w:val="en-IN"/>
        </w:rPr>
        <w:lastRenderedPageBreak/>
        <w:t>For example, VP2 and VP5 proteins of BTV are highly variable and determine the serotype specificity (</w:t>
      </w:r>
      <w:r w:rsidR="00955481">
        <w:rPr>
          <w:rFonts w:eastAsia="Calibri"/>
          <w:sz w:val="24"/>
          <w:szCs w:val="24"/>
          <w:lang w:val="en-IN"/>
        </w:rPr>
        <w:t>Kumar</w:t>
      </w:r>
      <w:r w:rsidR="0039338A">
        <w:rPr>
          <w:rFonts w:eastAsia="Calibri"/>
          <w:sz w:val="24"/>
          <w:szCs w:val="24"/>
          <w:lang w:val="en-IN"/>
        </w:rPr>
        <w:t xml:space="preserve"> et al.,</w:t>
      </w:r>
      <w:r w:rsidR="00955481">
        <w:rPr>
          <w:rFonts w:eastAsia="Calibri"/>
          <w:sz w:val="24"/>
          <w:szCs w:val="24"/>
          <w:lang w:val="en-IN"/>
        </w:rPr>
        <w:t xml:space="preserve"> 2013;</w:t>
      </w:r>
      <w:r w:rsidR="0039338A">
        <w:rPr>
          <w:rFonts w:eastAsia="Calibri"/>
          <w:sz w:val="24"/>
          <w:szCs w:val="24"/>
          <w:lang w:val="en-IN"/>
        </w:rPr>
        <w:t xml:space="preserve"> </w:t>
      </w:r>
      <w:r w:rsidR="00955481">
        <w:rPr>
          <w:rFonts w:eastAsia="Calibri"/>
          <w:sz w:val="24"/>
          <w:szCs w:val="24"/>
          <w:lang w:val="en-IN"/>
        </w:rPr>
        <w:t>Ranjan et al., 2013;</w:t>
      </w:r>
      <w:r w:rsidRPr="00561279">
        <w:rPr>
          <w:rFonts w:eastAsia="Calibri"/>
          <w:sz w:val="24"/>
          <w:szCs w:val="24"/>
          <w:lang w:val="en-IN"/>
        </w:rPr>
        <w:t xml:space="preserve"> 2014a, b). The nucleotide sequence and the phylogenetic analysis of these genes can provide a rapid approach for characterization of circulating viral strains in particular geographical region. </w:t>
      </w:r>
    </w:p>
    <w:p w:rsidR="00CF2A24" w:rsidRPr="00561279" w:rsidRDefault="00CF2A24" w:rsidP="00F0443F">
      <w:pPr>
        <w:spacing w:after="60" w:line="276" w:lineRule="auto"/>
        <w:jc w:val="both"/>
        <w:rPr>
          <w:rFonts w:eastAsia="Calibri"/>
          <w:sz w:val="24"/>
          <w:szCs w:val="24"/>
          <w:lang w:val="en-IN"/>
        </w:rPr>
      </w:pPr>
      <w:r w:rsidRPr="00561279">
        <w:rPr>
          <w:rFonts w:eastAsia="Calibri"/>
          <w:sz w:val="24"/>
          <w:szCs w:val="24"/>
          <w:lang w:val="en-IN"/>
        </w:rPr>
        <w:t xml:space="preserve">Although, individual gene sequencing of viruses of veterinary importance is quite common, however, the complex nature of virus-vector-environment and virus-vector-host interactions, and the continuing evolution of virus under selection pressure have forced researcher to go for full genome sequencing. Similarly, in order to identify reassortment events (between different isolates and or serotypes) in viruses having segmented genome, it is necessary to sequence all the genome segments. The provision of a full genome sequence for the BTV isolates, thus, makes it possible to track any changes or reassortment events that occur in the virus isolates, and also facilitate future analysis of the genetic diversity and phylogenetic relationships of BTV strains. In India full genome sequencing has been carried out for BTV serotype 16 (Minakshi </w:t>
      </w:r>
      <w:r w:rsidRPr="00561279">
        <w:rPr>
          <w:rFonts w:eastAsia="Calibri"/>
          <w:i/>
          <w:iCs/>
          <w:sz w:val="24"/>
          <w:szCs w:val="24"/>
          <w:lang w:val="en-IN"/>
        </w:rPr>
        <w:t>et al</w:t>
      </w:r>
      <w:r w:rsidRPr="00561279">
        <w:rPr>
          <w:rFonts w:eastAsia="Calibri"/>
          <w:sz w:val="24"/>
          <w:szCs w:val="24"/>
          <w:lang w:val="en-IN"/>
        </w:rPr>
        <w:t>., 2012).</w:t>
      </w:r>
    </w:p>
    <w:p w:rsidR="00CF2A24" w:rsidRPr="0011244D" w:rsidRDefault="00CF2A24" w:rsidP="00F0443F">
      <w:pPr>
        <w:pStyle w:val="NormalWeb"/>
        <w:spacing w:before="0" w:beforeAutospacing="0" w:after="60" w:afterAutospacing="0" w:line="276" w:lineRule="auto"/>
        <w:jc w:val="both"/>
        <w:rPr>
          <w:rFonts w:eastAsia="Calibri"/>
          <w:b/>
          <w:lang w:val="en-IN"/>
        </w:rPr>
      </w:pPr>
      <w:r w:rsidRPr="0011244D">
        <w:rPr>
          <w:rFonts w:eastAsia="Calibri"/>
          <w:b/>
          <w:lang w:val="en-IN"/>
        </w:rPr>
        <w:t>Nucleic acid sequencing methods</w:t>
      </w:r>
    </w:p>
    <w:p w:rsidR="00CF2A24" w:rsidRPr="006949BD" w:rsidRDefault="00CF2A24" w:rsidP="00F0443F">
      <w:pPr>
        <w:pStyle w:val="NormalWeb"/>
        <w:spacing w:before="0" w:beforeAutospacing="0" w:after="60" w:afterAutospacing="0" w:line="276" w:lineRule="auto"/>
        <w:jc w:val="both"/>
        <w:rPr>
          <w:rFonts w:eastAsia="Calibri"/>
          <w:b/>
          <w:lang w:val="en-IN"/>
        </w:rPr>
      </w:pPr>
      <w:r w:rsidRPr="006949BD">
        <w:rPr>
          <w:rFonts w:eastAsia="Calibri"/>
          <w:b/>
          <w:lang w:val="en-IN"/>
        </w:rPr>
        <w:t>(a) First generation sequencing</w:t>
      </w:r>
    </w:p>
    <w:p w:rsidR="00CF2A24" w:rsidRPr="00561279" w:rsidRDefault="00CF2A24" w:rsidP="0011244D">
      <w:pPr>
        <w:pStyle w:val="NormalWeb"/>
        <w:spacing w:before="0" w:beforeAutospacing="0" w:after="60" w:afterAutospacing="0" w:line="276" w:lineRule="auto"/>
        <w:jc w:val="both"/>
        <w:rPr>
          <w:rFonts w:eastAsia="Calibri"/>
          <w:lang w:val="en-IN"/>
        </w:rPr>
      </w:pPr>
      <w:r w:rsidRPr="00561279">
        <w:rPr>
          <w:rFonts w:eastAsia="Calibri"/>
          <w:lang w:val="en-IN"/>
        </w:rPr>
        <w:t xml:space="preserve">First generation sequencing technologies include the </w:t>
      </w:r>
      <w:proofErr w:type="spellStart"/>
      <w:r w:rsidRPr="00561279">
        <w:rPr>
          <w:rFonts w:eastAsia="Calibri"/>
          <w:lang w:val="en-IN"/>
        </w:rPr>
        <w:t>Maxam</w:t>
      </w:r>
      <w:proofErr w:type="spellEnd"/>
      <w:r w:rsidRPr="00561279">
        <w:rPr>
          <w:rFonts w:eastAsia="Calibri"/>
          <w:lang w:val="en-IN"/>
        </w:rPr>
        <w:t xml:space="preserve">-Gilbert method, discovered by Allan M. </w:t>
      </w:r>
      <w:proofErr w:type="spellStart"/>
      <w:r w:rsidRPr="00561279">
        <w:rPr>
          <w:rFonts w:eastAsia="Calibri"/>
          <w:lang w:val="en-IN"/>
        </w:rPr>
        <w:t>Maxam</w:t>
      </w:r>
      <w:proofErr w:type="spellEnd"/>
      <w:r w:rsidRPr="00561279">
        <w:rPr>
          <w:rFonts w:eastAsia="Calibri"/>
          <w:lang w:val="en-IN"/>
        </w:rPr>
        <w:t xml:space="preserve"> and Walter Gilbert (chemical method), and the Sanger method (or </w:t>
      </w:r>
      <w:proofErr w:type="spellStart"/>
      <w:r w:rsidRPr="00561279">
        <w:rPr>
          <w:rFonts w:eastAsia="Calibri"/>
          <w:lang w:val="en-IN"/>
        </w:rPr>
        <w:t>dideoxy</w:t>
      </w:r>
      <w:proofErr w:type="spellEnd"/>
      <w:r w:rsidRPr="00561279">
        <w:rPr>
          <w:rFonts w:eastAsia="Calibri"/>
          <w:lang w:val="en-IN"/>
        </w:rPr>
        <w:t xml:space="preserve"> method), discovered by Frederick Sanger. However, the Sanger method was more commonly used. F</w:t>
      </w:r>
      <w:r w:rsidR="0013284C">
        <w:rPr>
          <w:rFonts w:eastAsia="Calibri"/>
          <w:lang w:val="en-IN"/>
        </w:rPr>
        <w:t>undamental to this method is</w:t>
      </w:r>
      <w:r w:rsidRPr="00561279">
        <w:rPr>
          <w:rFonts w:eastAsia="Calibri"/>
          <w:lang w:val="en-IN"/>
        </w:rPr>
        <w:t xml:space="preserve"> use of </w:t>
      </w:r>
      <w:proofErr w:type="spellStart"/>
      <w:r w:rsidRPr="00561279">
        <w:rPr>
          <w:rFonts w:eastAsia="Calibri"/>
          <w:lang w:val="en-IN"/>
        </w:rPr>
        <w:t>dideoxy</w:t>
      </w:r>
      <w:proofErr w:type="spellEnd"/>
      <w:r w:rsidRPr="00561279">
        <w:rPr>
          <w:rFonts w:eastAsia="Calibri"/>
          <w:lang w:val="en-IN"/>
        </w:rPr>
        <w:t xml:space="preserve"> nucleotides, which lack a 3` hydroxyl group, along with the normal </w:t>
      </w:r>
      <w:proofErr w:type="spellStart"/>
      <w:r w:rsidRPr="00561279">
        <w:rPr>
          <w:rFonts w:eastAsia="Calibri"/>
          <w:lang w:val="en-IN"/>
        </w:rPr>
        <w:t>deoxy</w:t>
      </w:r>
      <w:proofErr w:type="spellEnd"/>
      <w:r w:rsidRPr="00561279">
        <w:rPr>
          <w:rFonts w:eastAsia="Calibri"/>
          <w:lang w:val="en-IN"/>
        </w:rPr>
        <w:t xml:space="preserve"> nucleotides. Here DNA chains are synthesized on a template strand. However, when one of the four possible </w:t>
      </w:r>
      <w:proofErr w:type="spellStart"/>
      <w:r w:rsidRPr="00561279">
        <w:rPr>
          <w:rFonts w:eastAsia="Calibri"/>
          <w:lang w:val="en-IN"/>
        </w:rPr>
        <w:t>dideoxy</w:t>
      </w:r>
      <w:proofErr w:type="spellEnd"/>
      <w:r w:rsidRPr="00561279">
        <w:rPr>
          <w:rFonts w:eastAsia="Calibri"/>
          <w:lang w:val="en-IN"/>
        </w:rPr>
        <w:t xml:space="preserve"> nucleotides became incorporated, chain growth is stopped, thereby preventing the addition of another nucleotide. In this way a population of nested, truncated DNA molecules are produced that represent each of the sites of that particular nucleotide in the template DNA. The molecules are separated according to size on an electrophoresis gel, and the inferred nucleotide sequence is deduced. In 1986, the laboratory of Leroy Hood at Caltech, in collaboration with Applied </w:t>
      </w:r>
      <w:proofErr w:type="spellStart"/>
      <w:r w:rsidRPr="00561279">
        <w:rPr>
          <w:rFonts w:eastAsia="Calibri"/>
          <w:lang w:val="en-IN"/>
        </w:rPr>
        <w:t>Biosystems</w:t>
      </w:r>
      <w:proofErr w:type="spellEnd"/>
      <w:r w:rsidRPr="00561279">
        <w:rPr>
          <w:rFonts w:eastAsia="Calibri"/>
          <w:lang w:val="en-IN"/>
        </w:rPr>
        <w:t xml:space="preserve"> (ABI), developed the first report of automation of DNA sequencing (Smith </w:t>
      </w:r>
      <w:r w:rsidRPr="00561279">
        <w:rPr>
          <w:rFonts w:eastAsia="Calibri"/>
          <w:i/>
          <w:lang w:val="en-IN"/>
        </w:rPr>
        <w:t>et al</w:t>
      </w:r>
      <w:r w:rsidRPr="00561279">
        <w:rPr>
          <w:rFonts w:eastAsia="Calibri"/>
          <w:lang w:val="en-IN"/>
        </w:rPr>
        <w:t>., 1986) which is now commonly used.</w:t>
      </w:r>
      <w:r w:rsidR="00B114E8">
        <w:rPr>
          <w:rFonts w:eastAsia="Calibri"/>
          <w:lang w:val="en-IN"/>
        </w:rPr>
        <w:t xml:space="preserve"> Segment 6 and 3 of Indian isolates of BTV has been sequenced using ABI 3130xl genetic analyser (Ranjan et al., 2012; Minakshi et al., 2011</w:t>
      </w:r>
      <w:r w:rsidR="00EC6BAA">
        <w:rPr>
          <w:rFonts w:eastAsia="Calibri"/>
          <w:lang w:val="en-IN"/>
        </w:rPr>
        <w:t>b</w:t>
      </w:r>
      <w:r w:rsidR="00B114E8">
        <w:rPr>
          <w:rFonts w:eastAsia="Calibri"/>
          <w:lang w:val="en-IN"/>
        </w:rPr>
        <w:t>).</w:t>
      </w:r>
    </w:p>
    <w:p w:rsidR="00CF2A24" w:rsidRPr="006949BD" w:rsidRDefault="00CF2A24" w:rsidP="0011244D">
      <w:pPr>
        <w:spacing w:after="60" w:line="276" w:lineRule="auto"/>
        <w:jc w:val="both"/>
        <w:rPr>
          <w:rFonts w:eastAsia="Calibri"/>
          <w:b/>
          <w:sz w:val="24"/>
          <w:szCs w:val="24"/>
          <w:lang w:val="en-IN"/>
        </w:rPr>
      </w:pPr>
      <w:r w:rsidRPr="006949BD">
        <w:rPr>
          <w:rFonts w:eastAsia="Calibri"/>
          <w:b/>
          <w:sz w:val="24"/>
          <w:szCs w:val="24"/>
          <w:lang w:val="en-IN"/>
        </w:rPr>
        <w:t xml:space="preserve">(b) Second or Next Generation methods </w:t>
      </w:r>
    </w:p>
    <w:p w:rsidR="00CF2A24" w:rsidRPr="00561279" w:rsidRDefault="00CF2A24" w:rsidP="00CF2A24">
      <w:pPr>
        <w:spacing w:line="276" w:lineRule="auto"/>
        <w:jc w:val="both"/>
        <w:rPr>
          <w:rFonts w:eastAsia="Calibri"/>
          <w:sz w:val="24"/>
          <w:szCs w:val="24"/>
          <w:lang w:val="en-IN"/>
        </w:rPr>
      </w:pPr>
      <w:r w:rsidRPr="00561279">
        <w:rPr>
          <w:rFonts w:eastAsia="Calibri"/>
          <w:sz w:val="24"/>
          <w:szCs w:val="24"/>
          <w:lang w:val="en-IN"/>
        </w:rPr>
        <w:t>They are high through put sequencing methods enable many DNA fragments (sometimes on the order of millions of fragments) to be sequenced at one time and are much faster than firs</w:t>
      </w:r>
      <w:r w:rsidR="00084975">
        <w:rPr>
          <w:rFonts w:eastAsia="Calibri"/>
          <w:sz w:val="24"/>
          <w:szCs w:val="24"/>
          <w:lang w:val="en-IN"/>
        </w:rPr>
        <w:t>t-generation technologies. Four</w:t>
      </w:r>
      <w:r w:rsidRPr="00561279">
        <w:rPr>
          <w:rFonts w:eastAsia="Calibri"/>
          <w:sz w:val="24"/>
          <w:szCs w:val="24"/>
          <w:lang w:val="en-IN"/>
        </w:rPr>
        <w:t xml:space="preserve"> platforms for ne</w:t>
      </w:r>
      <w:r w:rsidR="009D5160">
        <w:rPr>
          <w:rFonts w:eastAsia="Calibri"/>
          <w:sz w:val="24"/>
          <w:szCs w:val="24"/>
          <w:lang w:val="en-IN"/>
        </w:rPr>
        <w:t xml:space="preserve">xt generation sequencing are </w:t>
      </w:r>
      <w:r w:rsidRPr="00561279">
        <w:rPr>
          <w:rFonts w:eastAsia="Calibri"/>
          <w:sz w:val="24"/>
          <w:szCs w:val="24"/>
          <w:lang w:val="en-IN"/>
        </w:rPr>
        <w:t xml:space="preserve">currently in wide use: the Roche/454 FLX, the </w:t>
      </w:r>
      <w:proofErr w:type="spellStart"/>
      <w:r w:rsidRPr="00561279">
        <w:rPr>
          <w:rFonts w:eastAsia="Calibri"/>
          <w:sz w:val="24"/>
          <w:szCs w:val="24"/>
          <w:lang w:val="en-IN"/>
        </w:rPr>
        <w:t>Illumina</w:t>
      </w:r>
      <w:proofErr w:type="spellEnd"/>
      <w:r w:rsidRPr="00561279">
        <w:rPr>
          <w:rFonts w:eastAsia="Calibri"/>
          <w:sz w:val="24"/>
          <w:szCs w:val="24"/>
          <w:lang w:val="en-IN"/>
        </w:rPr>
        <w:t>/</w:t>
      </w:r>
      <w:proofErr w:type="spellStart"/>
      <w:r w:rsidRPr="00561279">
        <w:rPr>
          <w:rFonts w:eastAsia="Calibri"/>
          <w:sz w:val="24"/>
          <w:szCs w:val="24"/>
          <w:lang w:val="en-IN"/>
        </w:rPr>
        <w:t>Solexa</w:t>
      </w:r>
      <w:proofErr w:type="spellEnd"/>
      <w:r w:rsidRPr="00561279">
        <w:rPr>
          <w:rFonts w:eastAsia="Calibri"/>
          <w:sz w:val="24"/>
          <w:szCs w:val="24"/>
          <w:lang w:val="en-IN"/>
        </w:rPr>
        <w:t xml:space="preserve"> Genome </w:t>
      </w:r>
      <w:proofErr w:type="spellStart"/>
      <w:r w:rsidRPr="00561279">
        <w:rPr>
          <w:rFonts w:eastAsia="Calibri"/>
          <w:sz w:val="24"/>
          <w:szCs w:val="24"/>
          <w:lang w:val="en-IN"/>
        </w:rPr>
        <w:t>Analyzer</w:t>
      </w:r>
      <w:proofErr w:type="spellEnd"/>
      <w:r w:rsidRPr="00561279">
        <w:rPr>
          <w:rFonts w:eastAsia="Calibri"/>
          <w:sz w:val="24"/>
          <w:szCs w:val="24"/>
          <w:lang w:val="en-IN"/>
        </w:rPr>
        <w:t xml:space="preserve">, Ion Torrent/Personal Genome Machine (PGM) and the Applied </w:t>
      </w:r>
      <w:proofErr w:type="spellStart"/>
      <w:r w:rsidRPr="00561279">
        <w:rPr>
          <w:rFonts w:eastAsia="Calibri"/>
          <w:sz w:val="24"/>
          <w:szCs w:val="24"/>
          <w:lang w:val="en-IN"/>
        </w:rPr>
        <w:t>Biosystems</w:t>
      </w:r>
      <w:proofErr w:type="spellEnd"/>
      <w:r w:rsidRPr="00561279">
        <w:rPr>
          <w:rFonts w:eastAsia="Calibri"/>
          <w:sz w:val="24"/>
          <w:szCs w:val="24"/>
          <w:lang w:val="en-IN"/>
        </w:rPr>
        <w:t xml:space="preserve"> </w:t>
      </w:r>
      <w:proofErr w:type="spellStart"/>
      <w:r w:rsidRPr="00561279">
        <w:rPr>
          <w:rFonts w:eastAsia="Calibri"/>
          <w:sz w:val="24"/>
          <w:szCs w:val="24"/>
          <w:lang w:val="en-IN"/>
        </w:rPr>
        <w:t>SOLiD</w:t>
      </w:r>
      <w:r w:rsidRPr="00561279">
        <w:rPr>
          <w:rFonts w:eastAsia="Calibri"/>
          <w:sz w:val="24"/>
          <w:szCs w:val="24"/>
          <w:vertAlign w:val="superscript"/>
          <w:lang w:val="en-IN"/>
        </w:rPr>
        <w:t>TM</w:t>
      </w:r>
      <w:proofErr w:type="spellEnd"/>
      <w:r w:rsidRPr="00561279">
        <w:rPr>
          <w:rFonts w:eastAsia="Calibri"/>
          <w:sz w:val="24"/>
          <w:szCs w:val="24"/>
          <w:lang w:val="en-IN"/>
        </w:rPr>
        <w:t xml:space="preserve"> System. Recently, another two massively parallel systems were announced: the </w:t>
      </w:r>
      <w:proofErr w:type="spellStart"/>
      <w:r w:rsidRPr="00561279">
        <w:rPr>
          <w:rFonts w:eastAsia="Calibri"/>
          <w:sz w:val="24"/>
          <w:szCs w:val="24"/>
          <w:lang w:val="en-IN"/>
        </w:rPr>
        <w:t>Helicos</w:t>
      </w:r>
      <w:proofErr w:type="spellEnd"/>
      <w:r w:rsidRPr="00561279">
        <w:rPr>
          <w:rFonts w:eastAsia="Calibri"/>
          <w:sz w:val="24"/>
          <w:szCs w:val="24"/>
          <w:lang w:val="en-IN"/>
        </w:rPr>
        <w:t xml:space="preserve"> </w:t>
      </w:r>
      <w:proofErr w:type="spellStart"/>
      <w:r w:rsidRPr="00561279">
        <w:rPr>
          <w:rFonts w:eastAsia="Calibri"/>
          <w:sz w:val="24"/>
          <w:szCs w:val="24"/>
          <w:lang w:val="en-IN"/>
        </w:rPr>
        <w:t>HeliscopeTM</w:t>
      </w:r>
      <w:proofErr w:type="spellEnd"/>
      <w:r w:rsidRPr="00561279">
        <w:rPr>
          <w:rFonts w:eastAsia="Calibri"/>
          <w:sz w:val="24"/>
          <w:szCs w:val="24"/>
          <w:lang w:val="en-IN"/>
        </w:rPr>
        <w:t xml:space="preserve"> and Paciﬁc Biosciences SMRT instruments. Although these platforms are quite diverse in sequencing biochemistry as well as in how the array is generated, their work flows are conceptually similar. Library preparation is accomplished by random fragmentation of DNA, followed by in vitro ligation of common adaptor sequences. The generation of clonally clustered </w:t>
      </w:r>
      <w:proofErr w:type="spellStart"/>
      <w:r w:rsidRPr="00561279">
        <w:rPr>
          <w:rFonts w:eastAsia="Calibri"/>
          <w:sz w:val="24"/>
          <w:szCs w:val="24"/>
          <w:lang w:val="en-IN"/>
        </w:rPr>
        <w:t>amplicons</w:t>
      </w:r>
      <w:proofErr w:type="spellEnd"/>
      <w:r w:rsidRPr="00561279">
        <w:rPr>
          <w:rFonts w:eastAsia="Calibri"/>
          <w:sz w:val="24"/>
          <w:szCs w:val="24"/>
          <w:lang w:val="en-IN"/>
        </w:rPr>
        <w:t xml:space="preserve"> to serve as sequencing features can be achieved by several approaches, including </w:t>
      </w:r>
      <w:r w:rsidRPr="00561279">
        <w:rPr>
          <w:rFonts w:eastAsia="Calibri"/>
          <w:sz w:val="24"/>
          <w:szCs w:val="24"/>
          <w:lang w:val="en-IN"/>
        </w:rPr>
        <w:lastRenderedPageBreak/>
        <w:t xml:space="preserve">in situ polonies, emulsion PCR or bridge PCR depending upon type of sequencer. The full genome sequence of one of the Indian isolate of BTV serotype 16 has been done using Ion Torrent -PGM (Minakshi </w:t>
      </w:r>
      <w:r w:rsidRPr="00561279">
        <w:rPr>
          <w:rFonts w:eastAsia="Calibri"/>
          <w:i/>
          <w:iCs/>
          <w:sz w:val="24"/>
          <w:szCs w:val="24"/>
          <w:lang w:val="en-IN"/>
        </w:rPr>
        <w:t>et al</w:t>
      </w:r>
      <w:r w:rsidRPr="00561279">
        <w:rPr>
          <w:rFonts w:eastAsia="Calibri"/>
          <w:sz w:val="24"/>
          <w:szCs w:val="24"/>
          <w:lang w:val="en-IN"/>
        </w:rPr>
        <w:t>., 2012).</w:t>
      </w:r>
    </w:p>
    <w:p w:rsidR="00CF2A24" w:rsidRPr="006949BD" w:rsidRDefault="00CF2A24" w:rsidP="00CF2A24">
      <w:pPr>
        <w:spacing w:before="100" w:beforeAutospacing="1" w:after="100" w:afterAutospacing="1" w:line="276" w:lineRule="auto"/>
        <w:jc w:val="both"/>
        <w:rPr>
          <w:rFonts w:eastAsia="Calibri"/>
          <w:b/>
          <w:bCs/>
          <w:sz w:val="24"/>
          <w:szCs w:val="24"/>
          <w:lang w:val="en-IN"/>
        </w:rPr>
      </w:pPr>
      <w:r w:rsidRPr="006949BD">
        <w:rPr>
          <w:rFonts w:eastAsia="Calibri"/>
          <w:b/>
          <w:bCs/>
          <w:sz w:val="24"/>
          <w:szCs w:val="24"/>
          <w:lang w:val="en-IN"/>
        </w:rPr>
        <w:t>CONCLUSION</w:t>
      </w:r>
    </w:p>
    <w:p w:rsidR="00CF2A24" w:rsidRPr="00561279" w:rsidRDefault="00211A21" w:rsidP="00CF2A24">
      <w:pPr>
        <w:spacing w:after="120" w:line="276" w:lineRule="auto"/>
        <w:jc w:val="both"/>
        <w:rPr>
          <w:sz w:val="24"/>
          <w:szCs w:val="24"/>
        </w:rPr>
      </w:pPr>
      <w:r w:rsidRPr="00561279">
        <w:rPr>
          <w:sz w:val="24"/>
          <w:szCs w:val="24"/>
        </w:rPr>
        <w:t>Isolation</w:t>
      </w:r>
      <w:r w:rsidR="00CF2A24" w:rsidRPr="00561279">
        <w:rPr>
          <w:sz w:val="24"/>
          <w:szCs w:val="24"/>
        </w:rPr>
        <w:t xml:space="preserve"> of pathogen from various field samples will remain as gold standard for viral disease diagnosis. However, rapid detection and molecular characterization of the viral agent in clinical samples on the basis of nucleic acid sequence are very powerful tools for clinical and epidemiological studies. </w:t>
      </w:r>
      <w:r w:rsidR="00650074">
        <w:rPr>
          <w:sz w:val="24"/>
          <w:szCs w:val="24"/>
        </w:rPr>
        <w:t>Other modern tests such as micro array, real-time PCR, next generation sequencing etc. are demand of modern era</w:t>
      </w:r>
      <w:r w:rsidR="00FC6873">
        <w:rPr>
          <w:sz w:val="24"/>
          <w:szCs w:val="24"/>
        </w:rPr>
        <w:t xml:space="preserve"> for rapid and reliable </w:t>
      </w:r>
      <w:r w:rsidR="00C21510">
        <w:rPr>
          <w:sz w:val="24"/>
          <w:szCs w:val="24"/>
        </w:rPr>
        <w:t xml:space="preserve">diagnosis. </w:t>
      </w:r>
      <w:r w:rsidR="00CF2A24" w:rsidRPr="00561279">
        <w:rPr>
          <w:sz w:val="24"/>
          <w:szCs w:val="24"/>
        </w:rPr>
        <w:t>Moreover, very less is known about the molecular basis of pathogenesis and virulence of viral pathogens. There are still many situations where live virus in cell culture or animal hosts is inoculated for study of pathogenesis and virulence of virus. In addition, the speed and multiplexing capacity of PCR-based technologies have limitations not to detect live virus. While nucleic acid based diagnostic tests will have clear significance as rapid tests, virus isolation will remain an important component of viral disease diagnosis of domestic as well as wild animals.</w:t>
      </w:r>
    </w:p>
    <w:p w:rsidR="00CF2A24" w:rsidRPr="00CF7610" w:rsidRDefault="00CF2A24" w:rsidP="00CF2A24">
      <w:pPr>
        <w:pStyle w:val="Heading5"/>
        <w:tabs>
          <w:tab w:val="clear" w:pos="360"/>
        </w:tabs>
        <w:spacing w:before="100" w:beforeAutospacing="1" w:after="100" w:afterAutospacing="1" w:line="276" w:lineRule="auto"/>
        <w:jc w:val="left"/>
        <w:rPr>
          <w:b/>
          <w:bCs/>
          <w:sz w:val="24"/>
          <w:szCs w:val="24"/>
        </w:rPr>
      </w:pPr>
      <w:r w:rsidRPr="00CF7610">
        <w:rPr>
          <w:b/>
          <w:bCs/>
          <w:sz w:val="24"/>
          <w:szCs w:val="24"/>
        </w:rPr>
        <w:t>Acknowledgment</w:t>
      </w:r>
    </w:p>
    <w:p w:rsidR="00CF2A24" w:rsidRPr="00561279" w:rsidRDefault="00CF2A24" w:rsidP="00CF2A24">
      <w:pPr>
        <w:pStyle w:val="BodyText"/>
        <w:spacing w:before="100" w:beforeAutospacing="1" w:after="100" w:afterAutospacing="1" w:line="276" w:lineRule="auto"/>
        <w:ind w:firstLine="0"/>
        <w:rPr>
          <w:sz w:val="24"/>
          <w:szCs w:val="24"/>
        </w:rPr>
      </w:pPr>
      <w:r w:rsidRPr="00561279">
        <w:rPr>
          <w:sz w:val="24"/>
          <w:szCs w:val="24"/>
          <w:lang w:val="en-IN"/>
        </w:rPr>
        <w:t>The study reported in present paper was funded by Indian council of Agricultural Research and Dept. of Biotechnology</w:t>
      </w:r>
      <w:r w:rsidR="000509D7">
        <w:rPr>
          <w:sz w:val="24"/>
          <w:szCs w:val="24"/>
          <w:lang w:val="en-IN"/>
        </w:rPr>
        <w:t>,</w:t>
      </w:r>
      <w:r w:rsidRPr="00561279">
        <w:rPr>
          <w:sz w:val="24"/>
          <w:szCs w:val="24"/>
          <w:lang w:val="en-IN"/>
        </w:rPr>
        <w:t xml:space="preserve"> New Delhi. The authors are thankful to Dept. of Animal Biotechnology, LLR University of Veterinary and Animal Sciences, Hisar for providing infrastructural facility.</w:t>
      </w:r>
    </w:p>
    <w:p w:rsidR="00CF2A24" w:rsidRPr="00CF7610" w:rsidRDefault="00CF2A24" w:rsidP="00CF2A24">
      <w:pPr>
        <w:pStyle w:val="Heading5"/>
        <w:spacing w:before="100" w:beforeAutospacing="1" w:after="100" w:afterAutospacing="1" w:line="276" w:lineRule="auto"/>
        <w:jc w:val="left"/>
        <w:rPr>
          <w:b/>
          <w:bCs/>
          <w:sz w:val="24"/>
          <w:szCs w:val="24"/>
        </w:rPr>
      </w:pPr>
      <w:r w:rsidRPr="00CF7610">
        <w:rPr>
          <w:b/>
          <w:bCs/>
          <w:sz w:val="24"/>
          <w:szCs w:val="24"/>
        </w:rPr>
        <w:t>References</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Dahiya S, Prasad G, </w:t>
      </w:r>
      <w:r w:rsidRPr="00561279">
        <w:rPr>
          <w:bCs/>
          <w:sz w:val="24"/>
          <w:szCs w:val="24"/>
        </w:rPr>
        <w:t>Minakshi</w:t>
      </w:r>
      <w:r w:rsidRPr="00561279">
        <w:rPr>
          <w:sz w:val="24"/>
          <w:szCs w:val="24"/>
        </w:rPr>
        <w:t xml:space="preserve"> and Kovi RC (2005). Typing of bluetongue virus serotype 1 and 23 by RT-PCR. Indian J. Biotech.  </w:t>
      </w:r>
      <w:r w:rsidRPr="00561279">
        <w:rPr>
          <w:bCs/>
          <w:sz w:val="24"/>
          <w:szCs w:val="24"/>
        </w:rPr>
        <w:t xml:space="preserve">4: </w:t>
      </w:r>
      <w:r w:rsidRPr="00561279">
        <w:rPr>
          <w:sz w:val="24"/>
          <w:szCs w:val="24"/>
        </w:rPr>
        <w:t>373-377.</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Dalal S, Prasad G, </w:t>
      </w:r>
      <w:r w:rsidRPr="00561279">
        <w:rPr>
          <w:bCs/>
          <w:sz w:val="24"/>
          <w:szCs w:val="24"/>
        </w:rPr>
        <w:t>Minakshi</w:t>
      </w:r>
      <w:r w:rsidR="009A5620">
        <w:rPr>
          <w:sz w:val="24"/>
          <w:szCs w:val="24"/>
        </w:rPr>
        <w:t xml:space="preserve"> and Maan S</w:t>
      </w:r>
      <w:r w:rsidRPr="00561279">
        <w:rPr>
          <w:sz w:val="24"/>
          <w:szCs w:val="24"/>
        </w:rPr>
        <w:t xml:space="preserve"> (2008). VP7 gene based molecular characterization of two Indian i</w:t>
      </w:r>
      <w:r>
        <w:rPr>
          <w:sz w:val="24"/>
          <w:szCs w:val="24"/>
        </w:rPr>
        <w:t>solates of bluetongue virus.</w:t>
      </w:r>
      <w:r w:rsidRPr="00561279">
        <w:rPr>
          <w:sz w:val="24"/>
          <w:szCs w:val="24"/>
        </w:rPr>
        <w:t xml:space="preserve"> Haryana Vet. </w:t>
      </w:r>
      <w:r w:rsidRPr="00561279">
        <w:rPr>
          <w:bCs/>
          <w:sz w:val="24"/>
          <w:szCs w:val="24"/>
        </w:rPr>
        <w:t xml:space="preserve">47: </w:t>
      </w:r>
      <w:r w:rsidRPr="00561279">
        <w:rPr>
          <w:sz w:val="24"/>
          <w:szCs w:val="24"/>
        </w:rPr>
        <w:t>41-45.</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Garg  A K and Prasad  G. (1996). In vitro  susceptibility of goat mononuclear cells to bluetongue virus. Indian J Exp Biol. 34: 818-820.</w:t>
      </w:r>
    </w:p>
    <w:p w:rsidR="00AE2D73" w:rsidRPr="00561279" w:rsidRDefault="00AE2D73" w:rsidP="00CF2A24">
      <w:pPr>
        <w:pStyle w:val="references"/>
        <w:numPr>
          <w:ilvl w:val="0"/>
          <w:numId w:val="3"/>
        </w:numPr>
        <w:spacing w:after="60" w:line="276" w:lineRule="auto"/>
        <w:rPr>
          <w:rStyle w:val="citation"/>
          <w:sz w:val="24"/>
          <w:szCs w:val="24"/>
        </w:rPr>
      </w:pPr>
      <w:r w:rsidRPr="00561279">
        <w:rPr>
          <w:rStyle w:val="citation"/>
          <w:sz w:val="24"/>
          <w:szCs w:val="24"/>
        </w:rPr>
        <w:t>HariMohan, Minakshi, Kumar P and Prasad G (2012). Detection of Group B rotavirus in buffalo calves in Haryana state of Northern India. Indian J. Field Vet. 7: 71-74.</w:t>
      </w:r>
    </w:p>
    <w:p w:rsidR="00AE2D73" w:rsidRPr="00561279" w:rsidRDefault="00AE2D73" w:rsidP="00CF2A24">
      <w:pPr>
        <w:numPr>
          <w:ilvl w:val="0"/>
          <w:numId w:val="3"/>
        </w:numPr>
        <w:spacing w:after="60" w:line="276" w:lineRule="auto"/>
        <w:jc w:val="both"/>
        <w:rPr>
          <w:sz w:val="24"/>
          <w:szCs w:val="24"/>
        </w:rPr>
      </w:pPr>
      <w:r w:rsidRPr="00561279">
        <w:rPr>
          <w:sz w:val="24"/>
          <w:szCs w:val="24"/>
        </w:rPr>
        <w:t xml:space="preserve">Jack PJ, Amos-Ritchie RN, </w:t>
      </w:r>
      <w:proofErr w:type="spellStart"/>
      <w:r w:rsidRPr="00561279">
        <w:rPr>
          <w:sz w:val="24"/>
          <w:szCs w:val="24"/>
        </w:rPr>
        <w:t>Reverter</w:t>
      </w:r>
      <w:proofErr w:type="spellEnd"/>
      <w:r w:rsidRPr="00561279">
        <w:rPr>
          <w:sz w:val="24"/>
          <w:szCs w:val="24"/>
        </w:rPr>
        <w:t xml:space="preserve"> A, Palacios G, </w:t>
      </w:r>
      <w:proofErr w:type="spellStart"/>
      <w:r w:rsidRPr="00561279">
        <w:rPr>
          <w:sz w:val="24"/>
          <w:szCs w:val="24"/>
        </w:rPr>
        <w:t>Quan</w:t>
      </w:r>
      <w:proofErr w:type="spellEnd"/>
      <w:r w:rsidRPr="00561279">
        <w:rPr>
          <w:sz w:val="24"/>
          <w:szCs w:val="24"/>
        </w:rPr>
        <w:t xml:space="preserve"> PL, </w:t>
      </w:r>
      <w:proofErr w:type="spellStart"/>
      <w:r w:rsidRPr="00561279">
        <w:rPr>
          <w:sz w:val="24"/>
          <w:szCs w:val="24"/>
        </w:rPr>
        <w:t>Jabado</w:t>
      </w:r>
      <w:proofErr w:type="spellEnd"/>
      <w:r w:rsidRPr="00561279">
        <w:rPr>
          <w:sz w:val="24"/>
          <w:szCs w:val="24"/>
        </w:rPr>
        <w:t xml:space="preserve"> O, </w:t>
      </w:r>
      <w:proofErr w:type="spellStart"/>
      <w:r w:rsidRPr="00561279">
        <w:rPr>
          <w:sz w:val="24"/>
          <w:szCs w:val="24"/>
        </w:rPr>
        <w:t>Briese</w:t>
      </w:r>
      <w:proofErr w:type="spellEnd"/>
      <w:r w:rsidRPr="00561279">
        <w:rPr>
          <w:sz w:val="24"/>
          <w:szCs w:val="24"/>
        </w:rPr>
        <w:t xml:space="preserve"> T, </w:t>
      </w:r>
      <w:proofErr w:type="spellStart"/>
      <w:r w:rsidRPr="00561279">
        <w:rPr>
          <w:sz w:val="24"/>
          <w:szCs w:val="24"/>
        </w:rPr>
        <w:t>Lipkin</w:t>
      </w:r>
      <w:proofErr w:type="spellEnd"/>
      <w:r w:rsidRPr="00561279">
        <w:rPr>
          <w:sz w:val="24"/>
          <w:szCs w:val="24"/>
        </w:rPr>
        <w:t xml:space="preserve"> WI and Boyle DB (2009). Microarray-based detection of viruses causing vesicular or vesicular-like lesions in livestock animals. Vet. </w:t>
      </w:r>
      <w:proofErr w:type="spellStart"/>
      <w:r w:rsidRPr="00561279">
        <w:rPr>
          <w:sz w:val="24"/>
          <w:szCs w:val="24"/>
        </w:rPr>
        <w:t>Microbiol</w:t>
      </w:r>
      <w:proofErr w:type="spellEnd"/>
      <w:r w:rsidRPr="00561279">
        <w:rPr>
          <w:sz w:val="24"/>
          <w:szCs w:val="24"/>
        </w:rPr>
        <w:t xml:space="preserve">. 133 (1-2): 145-153. </w:t>
      </w:r>
    </w:p>
    <w:p w:rsidR="00AE2D73" w:rsidRPr="00561279" w:rsidRDefault="00AE2D73" w:rsidP="00CF2A24">
      <w:pPr>
        <w:pStyle w:val="ListParagraph"/>
        <w:numPr>
          <w:ilvl w:val="0"/>
          <w:numId w:val="3"/>
        </w:numPr>
        <w:ind w:left="340" w:hanging="340"/>
        <w:rPr>
          <w:sz w:val="24"/>
          <w:szCs w:val="24"/>
        </w:rPr>
      </w:pPr>
      <w:proofErr w:type="spellStart"/>
      <w:r w:rsidRPr="00561279">
        <w:rPr>
          <w:sz w:val="24"/>
          <w:szCs w:val="24"/>
        </w:rPr>
        <w:t>Killip</w:t>
      </w:r>
      <w:proofErr w:type="spellEnd"/>
      <w:r w:rsidRPr="00561279">
        <w:rPr>
          <w:sz w:val="24"/>
          <w:szCs w:val="24"/>
        </w:rPr>
        <w:t xml:space="preserve"> MJ, Young DF, Precious BL, </w:t>
      </w:r>
      <w:proofErr w:type="spellStart"/>
      <w:r w:rsidRPr="00561279">
        <w:rPr>
          <w:sz w:val="24"/>
          <w:szCs w:val="24"/>
        </w:rPr>
        <w:t>Goodbourn</w:t>
      </w:r>
      <w:proofErr w:type="spellEnd"/>
      <w:r w:rsidRPr="00561279">
        <w:rPr>
          <w:sz w:val="24"/>
          <w:szCs w:val="24"/>
        </w:rPr>
        <w:t xml:space="preserve"> S and Randall RE (2012). Activation of the beta interferon promoter by </w:t>
      </w:r>
      <w:proofErr w:type="spellStart"/>
      <w:r w:rsidRPr="00561279">
        <w:rPr>
          <w:sz w:val="24"/>
          <w:szCs w:val="24"/>
        </w:rPr>
        <w:t>paramyxoviruses</w:t>
      </w:r>
      <w:proofErr w:type="spellEnd"/>
      <w:r w:rsidRPr="00561279">
        <w:rPr>
          <w:sz w:val="24"/>
          <w:szCs w:val="24"/>
        </w:rPr>
        <w:t xml:space="preserve"> in the absence of virus protein synthesis. J General Virol.  93: 299–307. </w:t>
      </w:r>
    </w:p>
    <w:p w:rsidR="00AE2D73" w:rsidRPr="00561279" w:rsidRDefault="00AE2D73" w:rsidP="00CF2A24">
      <w:pPr>
        <w:pStyle w:val="references"/>
        <w:numPr>
          <w:ilvl w:val="0"/>
          <w:numId w:val="3"/>
        </w:numPr>
        <w:spacing w:after="60" w:line="276" w:lineRule="auto"/>
        <w:rPr>
          <w:rStyle w:val="citation"/>
          <w:sz w:val="24"/>
          <w:szCs w:val="24"/>
        </w:rPr>
      </w:pPr>
      <w:r w:rsidRPr="00561279">
        <w:rPr>
          <w:sz w:val="24"/>
          <w:szCs w:val="24"/>
        </w:rPr>
        <w:lastRenderedPageBreak/>
        <w:t xml:space="preserve">Kovi RC, Dahiya S, Prasad G and </w:t>
      </w:r>
      <w:r w:rsidRPr="00561279">
        <w:rPr>
          <w:bCs/>
          <w:sz w:val="24"/>
          <w:szCs w:val="24"/>
        </w:rPr>
        <w:t>Minakshi (</w:t>
      </w:r>
      <w:r w:rsidRPr="00561279">
        <w:rPr>
          <w:sz w:val="24"/>
          <w:szCs w:val="24"/>
        </w:rPr>
        <w:t>2007</w:t>
      </w:r>
      <w:r w:rsidRPr="00561279">
        <w:rPr>
          <w:bCs/>
          <w:sz w:val="24"/>
          <w:szCs w:val="24"/>
        </w:rPr>
        <w:t xml:space="preserve">). </w:t>
      </w:r>
      <w:r w:rsidRPr="00561279">
        <w:rPr>
          <w:sz w:val="24"/>
          <w:szCs w:val="24"/>
        </w:rPr>
        <w:t>Nucleotide sequence analysis of VP7 gene of Indian is</w:t>
      </w:r>
      <w:r>
        <w:rPr>
          <w:sz w:val="24"/>
          <w:szCs w:val="24"/>
        </w:rPr>
        <w:t>olates of bluetongue virus vis</w:t>
      </w:r>
      <w:r w:rsidRPr="00561279">
        <w:rPr>
          <w:sz w:val="24"/>
          <w:szCs w:val="24"/>
        </w:rPr>
        <w:t xml:space="preserve">-vis other serotypes from different parts of the world. DNA Seq,. </w:t>
      </w:r>
      <w:r w:rsidRPr="00561279">
        <w:rPr>
          <w:bCs/>
          <w:sz w:val="24"/>
          <w:szCs w:val="24"/>
        </w:rPr>
        <w:t>17:</w:t>
      </w:r>
      <w:r w:rsidRPr="00561279">
        <w:rPr>
          <w:sz w:val="24"/>
          <w:szCs w:val="24"/>
        </w:rPr>
        <w:t xml:space="preserve"> 187-198.</w:t>
      </w:r>
    </w:p>
    <w:p w:rsidR="00AE2D73" w:rsidRPr="00072833" w:rsidRDefault="00AE2D73" w:rsidP="00072833">
      <w:pPr>
        <w:pStyle w:val="ListParagraph"/>
        <w:numPr>
          <w:ilvl w:val="0"/>
          <w:numId w:val="3"/>
        </w:numPr>
        <w:rPr>
          <w:rFonts w:eastAsia="MS Mincho"/>
          <w:bCs/>
          <w:noProof/>
          <w:sz w:val="24"/>
          <w:szCs w:val="24"/>
          <w:lang w:val="en-US"/>
        </w:rPr>
      </w:pPr>
      <w:r w:rsidRPr="00072833">
        <w:rPr>
          <w:rFonts w:eastAsia="MS Mincho"/>
          <w:bCs/>
          <w:noProof/>
          <w:sz w:val="24"/>
          <w:szCs w:val="24"/>
          <w:lang w:val="en-US"/>
        </w:rPr>
        <w:t>Kumar P, Minakshi P, Ranjan K, Dalal R and Prasad G (2013). Evidence of reassortment between eastern and western topotype strains of bluetongue virus serotype 16 (BTV–16) from India. Adv. Anim. Vet. Sci. 1 (4S): 14 – 19.</w:t>
      </w:r>
    </w:p>
    <w:p w:rsidR="00AE2D73" w:rsidRPr="00561279" w:rsidRDefault="00AE2D73" w:rsidP="00CF2A24">
      <w:pPr>
        <w:numPr>
          <w:ilvl w:val="0"/>
          <w:numId w:val="3"/>
        </w:numPr>
        <w:spacing w:after="60" w:line="276" w:lineRule="auto"/>
        <w:jc w:val="both"/>
        <w:rPr>
          <w:sz w:val="24"/>
          <w:szCs w:val="24"/>
        </w:rPr>
      </w:pPr>
      <w:proofErr w:type="spellStart"/>
      <w:r w:rsidRPr="00561279">
        <w:rPr>
          <w:sz w:val="24"/>
          <w:szCs w:val="24"/>
        </w:rPr>
        <w:t>Laemmli</w:t>
      </w:r>
      <w:proofErr w:type="spellEnd"/>
      <w:r w:rsidRPr="00561279">
        <w:rPr>
          <w:sz w:val="24"/>
          <w:szCs w:val="24"/>
        </w:rPr>
        <w:t>, UK. (1970). Cleavage of structural proteins during the assembly of head of bacteriophage T4. Nature. 227: 680-685.</w:t>
      </w:r>
    </w:p>
    <w:p w:rsidR="00AE2D73" w:rsidRPr="00442021" w:rsidRDefault="00AE2D73" w:rsidP="00632995">
      <w:pPr>
        <w:pStyle w:val="references"/>
        <w:numPr>
          <w:ilvl w:val="0"/>
          <w:numId w:val="3"/>
        </w:numPr>
        <w:spacing w:after="60" w:line="276" w:lineRule="auto"/>
        <w:rPr>
          <w:bCs/>
          <w:sz w:val="24"/>
          <w:szCs w:val="24"/>
        </w:rPr>
      </w:pPr>
      <w:r w:rsidRPr="00F016C2">
        <w:rPr>
          <w:bCs/>
          <w:sz w:val="24"/>
          <w:szCs w:val="24"/>
        </w:rPr>
        <w:t>Minakshi P, Ranjan K, Kumar P and Prasad G (2013). A novel method of staining of RNA in polyacrylamide gel electrophoresis. Adv. Anim. Vet. Sci. 1 (4S):20 – 23.</w:t>
      </w:r>
    </w:p>
    <w:p w:rsidR="00AE2D73" w:rsidRPr="008F128E" w:rsidRDefault="00AE2D73" w:rsidP="008F128E">
      <w:pPr>
        <w:pStyle w:val="ListParagraph"/>
        <w:numPr>
          <w:ilvl w:val="0"/>
          <w:numId w:val="3"/>
        </w:numPr>
        <w:rPr>
          <w:rFonts w:eastAsia="MS Mincho"/>
          <w:bCs/>
          <w:noProof/>
          <w:sz w:val="24"/>
          <w:szCs w:val="24"/>
          <w:lang w:val="en-US"/>
        </w:rPr>
      </w:pPr>
      <w:r w:rsidRPr="008F128E">
        <w:rPr>
          <w:rFonts w:eastAsia="MS Mincho"/>
          <w:bCs/>
          <w:noProof/>
          <w:sz w:val="24"/>
          <w:szCs w:val="24"/>
          <w:lang w:val="en-US"/>
        </w:rPr>
        <w:t>Minakshi P, Ranjan K., Pawan, Rupinder and Prasad G. (2011</w:t>
      </w:r>
      <w:r w:rsidR="00470056">
        <w:rPr>
          <w:rFonts w:eastAsia="MS Mincho"/>
          <w:bCs/>
          <w:noProof/>
          <w:sz w:val="24"/>
          <w:szCs w:val="24"/>
          <w:lang w:val="en-US"/>
        </w:rPr>
        <w:t>b</w:t>
      </w:r>
      <w:r w:rsidRPr="008F128E">
        <w:rPr>
          <w:rFonts w:eastAsia="MS Mincho"/>
          <w:bCs/>
          <w:noProof/>
          <w:sz w:val="24"/>
          <w:szCs w:val="24"/>
          <w:lang w:val="en-US"/>
        </w:rPr>
        <w:t>). Segment 3 based genetic diversity among Indian isolates of bluetongue virus. Haryana vet. 50: 68-71.</w:t>
      </w:r>
    </w:p>
    <w:p w:rsidR="00AE2D73" w:rsidRPr="00561279" w:rsidRDefault="00AE2D73" w:rsidP="00CF2A24">
      <w:pPr>
        <w:numPr>
          <w:ilvl w:val="0"/>
          <w:numId w:val="3"/>
        </w:numPr>
        <w:autoSpaceDE w:val="0"/>
        <w:autoSpaceDN w:val="0"/>
        <w:adjustRightInd w:val="0"/>
        <w:spacing w:after="60"/>
        <w:jc w:val="both"/>
        <w:rPr>
          <w:sz w:val="24"/>
          <w:szCs w:val="24"/>
        </w:rPr>
      </w:pPr>
      <w:r w:rsidRPr="00561279">
        <w:rPr>
          <w:sz w:val="24"/>
          <w:szCs w:val="24"/>
        </w:rPr>
        <w:t xml:space="preserve">Minakshi P, Singh R., </w:t>
      </w:r>
      <w:r w:rsidRPr="00561279">
        <w:rPr>
          <w:bCs/>
          <w:sz w:val="24"/>
          <w:szCs w:val="24"/>
        </w:rPr>
        <w:t>Ranjan K.</w:t>
      </w:r>
      <w:r w:rsidRPr="00561279">
        <w:rPr>
          <w:sz w:val="24"/>
          <w:szCs w:val="24"/>
        </w:rPr>
        <w:t>, Kumar P</w:t>
      </w:r>
      <w:r>
        <w:rPr>
          <w:sz w:val="24"/>
          <w:szCs w:val="24"/>
        </w:rPr>
        <w:t>, Joshi C.G, Reddy YKM and Prasad G</w:t>
      </w:r>
      <w:r w:rsidRPr="00561279">
        <w:rPr>
          <w:sz w:val="24"/>
          <w:szCs w:val="24"/>
        </w:rPr>
        <w:t xml:space="preserve"> (2012). Complete Genome Sequence of Bluetongue Virus Serotype 16 of Goat Origin from India. J. Virol. 86(15): 8337.</w:t>
      </w:r>
    </w:p>
    <w:p w:rsidR="00AE2D73" w:rsidRPr="00561279" w:rsidRDefault="00AE2D73" w:rsidP="00CF2A24">
      <w:pPr>
        <w:pStyle w:val="references"/>
        <w:numPr>
          <w:ilvl w:val="0"/>
          <w:numId w:val="3"/>
        </w:numPr>
        <w:spacing w:after="60" w:line="276" w:lineRule="auto"/>
        <w:rPr>
          <w:sz w:val="24"/>
          <w:szCs w:val="24"/>
        </w:rPr>
      </w:pPr>
      <w:r w:rsidRPr="00561279">
        <w:rPr>
          <w:bCs/>
          <w:sz w:val="24"/>
          <w:szCs w:val="24"/>
          <w:lang w:val="sv-SE"/>
        </w:rPr>
        <w:t>Minakshi</w:t>
      </w:r>
      <w:r w:rsidRPr="00561279">
        <w:rPr>
          <w:sz w:val="24"/>
          <w:szCs w:val="24"/>
          <w:lang w:val="sv-SE"/>
        </w:rPr>
        <w:t>, P, Prasad, G, and Gupta A (2011</w:t>
      </w:r>
      <w:r w:rsidR="00470056">
        <w:rPr>
          <w:sz w:val="24"/>
          <w:szCs w:val="24"/>
          <w:lang w:val="sv-SE"/>
        </w:rPr>
        <w:t>a</w:t>
      </w:r>
      <w:r w:rsidRPr="00561279">
        <w:rPr>
          <w:sz w:val="24"/>
          <w:szCs w:val="24"/>
          <w:lang w:val="sv-SE"/>
        </w:rPr>
        <w:t xml:space="preserve">). </w:t>
      </w:r>
      <w:r w:rsidRPr="00561279">
        <w:rPr>
          <w:sz w:val="24"/>
          <w:szCs w:val="24"/>
        </w:rPr>
        <w:t>Characterization of buffalo rotaviruses using DNA probes. Inter. J. Applied Engineering and Res</w:t>
      </w:r>
      <w:r w:rsidRPr="00561279">
        <w:rPr>
          <w:bCs/>
          <w:sz w:val="24"/>
          <w:szCs w:val="24"/>
        </w:rPr>
        <w:t>. 6:</w:t>
      </w:r>
      <w:r w:rsidRPr="00561279">
        <w:rPr>
          <w:sz w:val="24"/>
          <w:szCs w:val="24"/>
        </w:rPr>
        <w:t xml:space="preserve">  687-690</w:t>
      </w:r>
      <w:r w:rsidRPr="00561279">
        <w:rPr>
          <w:sz w:val="24"/>
          <w:szCs w:val="24"/>
          <w:lang w:val="sv-SE"/>
        </w:rPr>
        <w:t>.</w:t>
      </w:r>
    </w:p>
    <w:p w:rsidR="00AE2D73" w:rsidRPr="00561279" w:rsidRDefault="00AE2D73" w:rsidP="00CF2A24">
      <w:pPr>
        <w:pStyle w:val="references"/>
        <w:numPr>
          <w:ilvl w:val="0"/>
          <w:numId w:val="3"/>
        </w:numPr>
        <w:spacing w:after="60" w:line="276" w:lineRule="auto"/>
        <w:rPr>
          <w:sz w:val="24"/>
          <w:szCs w:val="24"/>
        </w:rPr>
      </w:pPr>
      <w:r w:rsidRPr="00561279">
        <w:rPr>
          <w:bCs/>
          <w:sz w:val="24"/>
          <w:szCs w:val="24"/>
        </w:rPr>
        <w:t>Minakshi,</w:t>
      </w:r>
      <w:r w:rsidRPr="00561279">
        <w:rPr>
          <w:sz w:val="24"/>
          <w:szCs w:val="24"/>
        </w:rPr>
        <w:t xml:space="preserve"> Prasad G, Malik Y and Pandey R (2005). G and P genotyping of bovine group A rotaviruses in fecal samples of diarrhoeic calves by DIG- labeled probes. Indian J. Biotech. </w:t>
      </w:r>
      <w:r w:rsidRPr="00561279">
        <w:rPr>
          <w:bCs/>
          <w:sz w:val="24"/>
          <w:szCs w:val="24"/>
        </w:rPr>
        <w:t xml:space="preserve">4: </w:t>
      </w:r>
      <w:r w:rsidRPr="00561279">
        <w:rPr>
          <w:sz w:val="24"/>
          <w:szCs w:val="24"/>
        </w:rPr>
        <w:t>93-99.</w:t>
      </w:r>
    </w:p>
    <w:p w:rsidR="00AE2D73" w:rsidRPr="00561279" w:rsidRDefault="00AE2D73" w:rsidP="00CF2A24">
      <w:pPr>
        <w:pStyle w:val="references"/>
        <w:numPr>
          <w:ilvl w:val="0"/>
          <w:numId w:val="3"/>
        </w:numPr>
        <w:spacing w:after="60" w:line="276" w:lineRule="auto"/>
        <w:rPr>
          <w:sz w:val="24"/>
          <w:szCs w:val="24"/>
        </w:rPr>
      </w:pPr>
      <w:r w:rsidRPr="00561279">
        <w:rPr>
          <w:bCs/>
          <w:sz w:val="24"/>
          <w:szCs w:val="24"/>
        </w:rPr>
        <w:t>Minaksh</w:t>
      </w:r>
      <w:r w:rsidRPr="00561279">
        <w:rPr>
          <w:sz w:val="24"/>
          <w:szCs w:val="24"/>
        </w:rPr>
        <w:t>i</w:t>
      </w:r>
      <w:r w:rsidRPr="00561279">
        <w:rPr>
          <w:bCs/>
          <w:sz w:val="24"/>
          <w:szCs w:val="24"/>
        </w:rPr>
        <w:t>,</w:t>
      </w:r>
      <w:r w:rsidRPr="00561279">
        <w:rPr>
          <w:sz w:val="24"/>
          <w:szCs w:val="24"/>
        </w:rPr>
        <w:t xml:space="preserve"> Prasad G, Sunita Verma and Swati Dahiya (2004). Detection of Group A avian rotaviruses from diarrhoeic poultry in India. Indian J Microbiol. </w:t>
      </w:r>
      <w:r w:rsidRPr="00561279">
        <w:rPr>
          <w:bCs/>
          <w:sz w:val="24"/>
          <w:szCs w:val="24"/>
        </w:rPr>
        <w:t>44</w:t>
      </w:r>
      <w:r w:rsidRPr="00561279">
        <w:rPr>
          <w:sz w:val="24"/>
          <w:szCs w:val="24"/>
        </w:rPr>
        <w:t>: 205-209.</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Mishra I, Grover YP, Pandey R and </w:t>
      </w:r>
      <w:r w:rsidRPr="00561279">
        <w:rPr>
          <w:bCs/>
          <w:sz w:val="24"/>
          <w:szCs w:val="24"/>
        </w:rPr>
        <w:t>Minakshi (</w:t>
      </w:r>
      <w:r w:rsidRPr="00561279">
        <w:rPr>
          <w:sz w:val="24"/>
          <w:szCs w:val="24"/>
        </w:rPr>
        <w:t>2002</w:t>
      </w:r>
      <w:r w:rsidRPr="00561279">
        <w:rPr>
          <w:bCs/>
          <w:sz w:val="24"/>
          <w:szCs w:val="24"/>
        </w:rPr>
        <w:t xml:space="preserve">). </w:t>
      </w:r>
      <w:r w:rsidRPr="00561279">
        <w:rPr>
          <w:sz w:val="24"/>
          <w:szCs w:val="24"/>
        </w:rPr>
        <w:t>Comparison of detection limit of a non radioactive VP4 cDNA probe based dot blot hybridisation test and RNA-PAGE of cell culture grown bovine rotavirus. J. Immuno. Immunopatho.</w:t>
      </w:r>
      <w:r>
        <w:rPr>
          <w:sz w:val="24"/>
          <w:szCs w:val="24"/>
        </w:rPr>
        <w:t xml:space="preserve"> </w:t>
      </w:r>
      <w:r w:rsidRPr="00561279">
        <w:rPr>
          <w:bCs/>
          <w:sz w:val="24"/>
          <w:szCs w:val="24"/>
        </w:rPr>
        <w:t>4</w:t>
      </w:r>
      <w:r w:rsidRPr="00561279">
        <w:rPr>
          <w:sz w:val="24"/>
          <w:szCs w:val="24"/>
        </w:rPr>
        <w:t>: 33-39.</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Naresh A, Roy P and Prasad G. (1996). Evaluation of recombinant bluetongue virus antigens using dot immunobinding </w:t>
      </w:r>
      <w:r>
        <w:rPr>
          <w:sz w:val="24"/>
          <w:szCs w:val="24"/>
        </w:rPr>
        <w:t>assay. American J Vet. Research.</w:t>
      </w:r>
      <w:r w:rsidRPr="00561279">
        <w:rPr>
          <w:sz w:val="24"/>
          <w:szCs w:val="24"/>
        </w:rPr>
        <w:t xml:space="preserve"> 57:1556-1558.</w:t>
      </w:r>
    </w:p>
    <w:p w:rsidR="00AE2D73" w:rsidRPr="00561279" w:rsidRDefault="00AE2D73" w:rsidP="00CF2A24">
      <w:pPr>
        <w:pStyle w:val="references"/>
        <w:numPr>
          <w:ilvl w:val="0"/>
          <w:numId w:val="3"/>
        </w:numPr>
        <w:spacing w:after="60" w:line="276" w:lineRule="auto"/>
        <w:ind w:left="340" w:hanging="340"/>
        <w:rPr>
          <w:sz w:val="24"/>
          <w:szCs w:val="24"/>
        </w:rPr>
      </w:pPr>
      <w:r w:rsidRPr="00561279">
        <w:rPr>
          <w:rStyle w:val="citation"/>
          <w:spacing w:val="10"/>
          <w:sz w:val="24"/>
          <w:szCs w:val="24"/>
        </w:rPr>
        <w:t>Niture GS, Karpe AG, Minakshi P, Bhonsle AV, Ingale SS (2008).</w:t>
      </w:r>
      <w:r w:rsidRPr="00561279">
        <w:rPr>
          <w:sz w:val="24"/>
          <w:szCs w:val="24"/>
        </w:rPr>
        <w:t xml:space="preserve"> Genomic Diversity among Rotaviruses isolated from Diarrhoeic Buffalo calves. Vet World</w:t>
      </w:r>
      <w:r>
        <w:rPr>
          <w:sz w:val="24"/>
          <w:szCs w:val="24"/>
        </w:rPr>
        <w:t>.</w:t>
      </w:r>
      <w:r w:rsidRPr="00561279">
        <w:rPr>
          <w:sz w:val="24"/>
          <w:szCs w:val="24"/>
        </w:rPr>
        <w:t xml:space="preserve"> 2(7): 259-260.</w:t>
      </w:r>
    </w:p>
    <w:p w:rsidR="00AE2D73" w:rsidRPr="00561279" w:rsidRDefault="00AE2D73" w:rsidP="00CF2A24">
      <w:pPr>
        <w:pStyle w:val="references"/>
        <w:numPr>
          <w:ilvl w:val="0"/>
          <w:numId w:val="3"/>
        </w:numPr>
        <w:spacing w:after="60" w:line="276" w:lineRule="auto"/>
        <w:rPr>
          <w:sz w:val="24"/>
          <w:szCs w:val="24"/>
        </w:rPr>
      </w:pPr>
      <w:r w:rsidRPr="00561279">
        <w:rPr>
          <w:sz w:val="24"/>
          <w:szCs w:val="24"/>
          <w:lang w:val="pt-BR"/>
        </w:rPr>
        <w:t xml:space="preserve">Prasad G, Garg AK and Srivastava RN (1993). </w:t>
      </w:r>
      <w:r w:rsidRPr="00561279">
        <w:rPr>
          <w:sz w:val="24"/>
          <w:szCs w:val="24"/>
        </w:rPr>
        <w:t>Electron microscopic observations on the morphogenesis and release of bluetongue virus from BHK 21 cells. Indian J. Virol. 9: 23-30</w:t>
      </w:r>
      <w:r w:rsidRPr="00561279">
        <w:rPr>
          <w:sz w:val="24"/>
          <w:szCs w:val="24"/>
          <w:lang w:val="pt-BR"/>
        </w:rPr>
        <w:t>.</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Prasad G, Malik P, Malik P K and Minakshi (1998). Serological survey of bluetongue virus antibody in domestic and wild ruminants in and around Sariska tiger reserve, Rajasthan. Indian J Virol. 14: 51-53. </w:t>
      </w:r>
    </w:p>
    <w:p w:rsidR="00AE2D73" w:rsidRPr="00561279" w:rsidRDefault="00AE2D73" w:rsidP="00CF2A24">
      <w:pPr>
        <w:pStyle w:val="references"/>
        <w:numPr>
          <w:ilvl w:val="0"/>
          <w:numId w:val="3"/>
        </w:numPr>
        <w:spacing w:after="60" w:line="276" w:lineRule="auto"/>
        <w:rPr>
          <w:sz w:val="24"/>
          <w:szCs w:val="24"/>
          <w:lang w:val="en-GB"/>
        </w:rPr>
      </w:pPr>
      <w:r w:rsidRPr="00561279">
        <w:rPr>
          <w:sz w:val="24"/>
          <w:szCs w:val="24"/>
          <w:lang w:val="en-GB"/>
        </w:rPr>
        <w:t xml:space="preserve">Prasad, G and </w:t>
      </w:r>
      <w:r w:rsidRPr="00561279">
        <w:rPr>
          <w:bCs/>
          <w:sz w:val="24"/>
          <w:szCs w:val="24"/>
          <w:lang w:val="en-GB"/>
        </w:rPr>
        <w:t>Minakshi</w:t>
      </w:r>
      <w:r w:rsidRPr="00561279">
        <w:rPr>
          <w:sz w:val="24"/>
          <w:szCs w:val="24"/>
          <w:lang w:val="en-GB"/>
        </w:rPr>
        <w:t xml:space="preserve"> (1999). Comparative evaluation of sensitivity of RNA-polyacrylamide gel electrophoresis and dot immunobinding assay for detection of bluetongue virus in cell culture. Indian J. Exp Biol.</w:t>
      </w:r>
      <w:r w:rsidRPr="00561279">
        <w:rPr>
          <w:bCs/>
          <w:sz w:val="24"/>
          <w:szCs w:val="24"/>
          <w:lang w:val="en-GB"/>
        </w:rPr>
        <w:t xml:space="preserve"> 37</w:t>
      </w:r>
      <w:r w:rsidRPr="00561279">
        <w:rPr>
          <w:sz w:val="24"/>
          <w:szCs w:val="24"/>
          <w:lang w:val="en-GB"/>
        </w:rPr>
        <w:t>: 157-160.</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lastRenderedPageBreak/>
        <w:t>Ramanathan A, Malik PK, Prasad G. (2007). Seroepizootiological survey for selected viral infections in captive Asiatic lions (Panthera leo persica) from western India. J Zoo Wildl Med. 38(3): 400-408.</w:t>
      </w:r>
    </w:p>
    <w:p w:rsidR="00AE2D73" w:rsidRPr="00561279" w:rsidRDefault="00AE2D73" w:rsidP="00CF2A24">
      <w:pPr>
        <w:numPr>
          <w:ilvl w:val="0"/>
          <w:numId w:val="3"/>
        </w:numPr>
        <w:autoSpaceDE w:val="0"/>
        <w:autoSpaceDN w:val="0"/>
        <w:adjustRightInd w:val="0"/>
        <w:spacing w:after="60"/>
        <w:jc w:val="both"/>
        <w:rPr>
          <w:sz w:val="24"/>
          <w:szCs w:val="24"/>
        </w:rPr>
      </w:pPr>
      <w:r w:rsidRPr="00561279">
        <w:rPr>
          <w:bCs/>
          <w:sz w:val="24"/>
          <w:szCs w:val="24"/>
        </w:rPr>
        <w:t>Ranjan K,</w:t>
      </w:r>
      <w:r w:rsidRPr="00561279">
        <w:rPr>
          <w:sz w:val="24"/>
          <w:szCs w:val="24"/>
        </w:rPr>
        <w:t xml:space="preserve"> Minakshi P, Kumar P and Prasad G. (2014a). VP5 gene based molecular comparison of Indian and global isolates of bluetongue virus 2. Adv. Anim. Vet. Sci. 2 (2): 91 – 97.</w:t>
      </w:r>
    </w:p>
    <w:p w:rsidR="00AE2D73" w:rsidRPr="00561279" w:rsidRDefault="00AE2D73" w:rsidP="00CF2A24">
      <w:pPr>
        <w:numPr>
          <w:ilvl w:val="0"/>
          <w:numId w:val="3"/>
        </w:numPr>
        <w:autoSpaceDE w:val="0"/>
        <w:autoSpaceDN w:val="0"/>
        <w:adjustRightInd w:val="0"/>
        <w:spacing w:after="60"/>
        <w:jc w:val="both"/>
        <w:rPr>
          <w:sz w:val="24"/>
          <w:szCs w:val="24"/>
        </w:rPr>
      </w:pPr>
      <w:r w:rsidRPr="00561279">
        <w:rPr>
          <w:bCs/>
          <w:sz w:val="24"/>
          <w:szCs w:val="24"/>
        </w:rPr>
        <w:t>Ranjan K,</w:t>
      </w:r>
      <w:r w:rsidRPr="00561279">
        <w:rPr>
          <w:sz w:val="24"/>
          <w:szCs w:val="24"/>
        </w:rPr>
        <w:t xml:space="preserve"> Prasad G, Kumar P and Minakshi P (2013). Vp5 gene based molecular characterization of bluetongue virus 9 from South India. Adv. Anim. Vet. Sci. 1 (4S): 30 – 36.</w:t>
      </w:r>
    </w:p>
    <w:p w:rsidR="00AE2D73" w:rsidRPr="00561279" w:rsidRDefault="00AE2D73" w:rsidP="00CF2A24">
      <w:pPr>
        <w:numPr>
          <w:ilvl w:val="0"/>
          <w:numId w:val="3"/>
        </w:numPr>
        <w:autoSpaceDE w:val="0"/>
        <w:autoSpaceDN w:val="0"/>
        <w:adjustRightInd w:val="0"/>
        <w:spacing w:after="60"/>
        <w:jc w:val="both"/>
        <w:rPr>
          <w:sz w:val="24"/>
          <w:szCs w:val="24"/>
        </w:rPr>
      </w:pPr>
      <w:r w:rsidRPr="00561279">
        <w:rPr>
          <w:bCs/>
          <w:sz w:val="24"/>
          <w:szCs w:val="24"/>
        </w:rPr>
        <w:t>Ranjan K,</w:t>
      </w:r>
      <w:r w:rsidRPr="00561279">
        <w:rPr>
          <w:sz w:val="24"/>
          <w:szCs w:val="24"/>
        </w:rPr>
        <w:t xml:space="preserve"> Prasad G, Kumar P and Minakshi P (2014b). Molecular characterization of segment 6 of bluetongue serotype 16 of sheep origin from India. Adv. Anim. Vet. Sci. 2(2): 98 – 103.</w:t>
      </w:r>
    </w:p>
    <w:p w:rsidR="00AE2D73" w:rsidRPr="008F128E" w:rsidRDefault="00AE2D73" w:rsidP="008F128E">
      <w:pPr>
        <w:pStyle w:val="ListParagraph"/>
        <w:numPr>
          <w:ilvl w:val="0"/>
          <w:numId w:val="3"/>
        </w:numPr>
        <w:rPr>
          <w:rFonts w:eastAsia="MS Mincho"/>
          <w:bCs/>
          <w:noProof/>
          <w:sz w:val="24"/>
          <w:szCs w:val="24"/>
          <w:lang w:val="en-US"/>
        </w:rPr>
      </w:pPr>
      <w:r w:rsidRPr="008F128E">
        <w:rPr>
          <w:rFonts w:eastAsia="MS Mincho"/>
          <w:bCs/>
          <w:noProof/>
          <w:sz w:val="24"/>
          <w:szCs w:val="24"/>
          <w:lang w:val="en-US"/>
        </w:rPr>
        <w:t>Ranjan K., Minakshi P, Hari mohan, Rupinder, Vishwaradhya T.M. and Prasad G. (2012). Nucleotide sequence variation in vp5 gene of Indian isolate of bluetongue v</w:t>
      </w:r>
      <w:r>
        <w:rPr>
          <w:rFonts w:eastAsia="MS Mincho"/>
          <w:bCs/>
          <w:noProof/>
          <w:sz w:val="24"/>
          <w:szCs w:val="24"/>
          <w:lang w:val="en-US"/>
        </w:rPr>
        <w:t>irus serotype 2.  Harayana Vet.</w:t>
      </w:r>
      <w:r w:rsidRPr="008F128E">
        <w:rPr>
          <w:rFonts w:eastAsia="MS Mincho"/>
          <w:bCs/>
          <w:noProof/>
          <w:sz w:val="24"/>
          <w:szCs w:val="24"/>
          <w:lang w:val="en-US"/>
        </w:rPr>
        <w:t xml:space="preserve"> 51: 29-33.</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Read SJ, Mitchell JL and Fink CG (2001). LightCycler multiplex PCR for the laboratory diagnosis of common viral infections of the central nervous system. J Clin Microbiol. 39: 3056</w:t>
      </w:r>
      <w:r w:rsidR="006A77F3">
        <w:rPr>
          <w:sz w:val="24"/>
          <w:szCs w:val="24"/>
        </w:rPr>
        <w:t xml:space="preserve"> </w:t>
      </w:r>
      <w:r w:rsidRPr="00561279">
        <w:rPr>
          <w:sz w:val="24"/>
          <w:szCs w:val="24"/>
        </w:rPr>
        <w:t>-</w:t>
      </w:r>
      <w:r w:rsidR="006A77F3">
        <w:rPr>
          <w:sz w:val="24"/>
          <w:szCs w:val="24"/>
        </w:rPr>
        <w:t xml:space="preserve"> </w:t>
      </w:r>
      <w:r w:rsidRPr="00561279">
        <w:rPr>
          <w:sz w:val="24"/>
          <w:szCs w:val="24"/>
        </w:rPr>
        <w:t>3059.</w:t>
      </w:r>
    </w:p>
    <w:p w:rsidR="00AE2D73" w:rsidRPr="00561279" w:rsidRDefault="00AE2D73" w:rsidP="00CF2A24">
      <w:pPr>
        <w:pStyle w:val="references"/>
        <w:numPr>
          <w:ilvl w:val="0"/>
          <w:numId w:val="3"/>
        </w:numPr>
        <w:spacing w:after="60" w:line="276" w:lineRule="auto"/>
        <w:ind w:left="340" w:hanging="340"/>
        <w:rPr>
          <w:rStyle w:val="citation"/>
          <w:sz w:val="24"/>
          <w:szCs w:val="24"/>
        </w:rPr>
      </w:pPr>
      <w:r w:rsidRPr="00561279">
        <w:rPr>
          <w:rStyle w:val="citation"/>
          <w:sz w:val="24"/>
          <w:szCs w:val="24"/>
        </w:rPr>
        <w:t>Roy P (2008). Bluetongue virus: dissection of the polymerase complex. J Gen Virol. 89(Pt 8): 1789</w:t>
      </w:r>
      <w:r w:rsidR="006A77F3">
        <w:rPr>
          <w:rStyle w:val="citation"/>
          <w:sz w:val="24"/>
          <w:szCs w:val="24"/>
        </w:rPr>
        <w:t xml:space="preserve"> </w:t>
      </w:r>
      <w:r w:rsidRPr="00561279">
        <w:rPr>
          <w:rStyle w:val="citation"/>
          <w:sz w:val="24"/>
          <w:szCs w:val="24"/>
        </w:rPr>
        <w:t>–1804.</w:t>
      </w:r>
    </w:p>
    <w:p w:rsidR="00AE2D73" w:rsidRPr="00561279" w:rsidRDefault="00AE2D73" w:rsidP="00CF2A24">
      <w:pPr>
        <w:pStyle w:val="references"/>
        <w:numPr>
          <w:ilvl w:val="0"/>
          <w:numId w:val="3"/>
        </w:numPr>
        <w:spacing w:after="60" w:line="276" w:lineRule="auto"/>
        <w:rPr>
          <w:sz w:val="24"/>
          <w:szCs w:val="24"/>
        </w:rPr>
      </w:pPr>
      <w:r w:rsidRPr="00561279">
        <w:rPr>
          <w:sz w:val="24"/>
          <w:szCs w:val="24"/>
          <w:lang w:val="en-GB"/>
        </w:rPr>
        <w:t>Satish S, Kumar A, Singh Y,</w:t>
      </w:r>
      <w:r w:rsidRPr="00561279">
        <w:rPr>
          <w:bCs/>
          <w:sz w:val="24"/>
          <w:szCs w:val="24"/>
          <w:lang w:val="en-GB"/>
        </w:rPr>
        <w:t xml:space="preserve"> Minakshi </w:t>
      </w:r>
      <w:r w:rsidRPr="00561279">
        <w:rPr>
          <w:sz w:val="24"/>
          <w:szCs w:val="24"/>
          <w:lang w:val="en-GB"/>
        </w:rPr>
        <w:t xml:space="preserve">and Prasad G (2011). Identification and differentiation of raw meats of sheep, goat, cattle, pig and poultry by Multiplex PCR.  </w:t>
      </w:r>
      <w:r w:rsidRPr="00561279">
        <w:rPr>
          <w:sz w:val="24"/>
          <w:szCs w:val="24"/>
        </w:rPr>
        <w:t xml:space="preserve">Indian J Anim. Sciences. </w:t>
      </w:r>
      <w:r w:rsidRPr="00561279">
        <w:rPr>
          <w:bCs/>
          <w:sz w:val="24"/>
          <w:szCs w:val="24"/>
        </w:rPr>
        <w:t xml:space="preserve">81 (6): </w:t>
      </w:r>
      <w:r w:rsidRPr="00561279">
        <w:rPr>
          <w:sz w:val="24"/>
          <w:szCs w:val="24"/>
        </w:rPr>
        <w:t>588</w:t>
      </w:r>
      <w:r w:rsidR="00351996">
        <w:rPr>
          <w:sz w:val="24"/>
          <w:szCs w:val="24"/>
        </w:rPr>
        <w:t xml:space="preserve"> </w:t>
      </w:r>
      <w:r w:rsidRPr="00561279">
        <w:rPr>
          <w:sz w:val="24"/>
          <w:szCs w:val="24"/>
        </w:rPr>
        <w:t>-</w:t>
      </w:r>
      <w:r w:rsidR="00351996">
        <w:rPr>
          <w:sz w:val="24"/>
          <w:szCs w:val="24"/>
        </w:rPr>
        <w:t xml:space="preserve"> </w:t>
      </w:r>
      <w:r w:rsidRPr="00561279">
        <w:rPr>
          <w:sz w:val="24"/>
          <w:szCs w:val="24"/>
        </w:rPr>
        <w:t>591</w:t>
      </w:r>
      <w:r w:rsidRPr="00561279">
        <w:rPr>
          <w:sz w:val="24"/>
          <w:szCs w:val="24"/>
          <w:lang w:val="en-GB"/>
        </w:rPr>
        <w:t>.</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Savi J, </w:t>
      </w:r>
      <w:r w:rsidRPr="00561279">
        <w:rPr>
          <w:bCs/>
          <w:sz w:val="24"/>
          <w:szCs w:val="24"/>
        </w:rPr>
        <w:t>Minakshi</w:t>
      </w:r>
      <w:r w:rsidRPr="00561279">
        <w:rPr>
          <w:sz w:val="24"/>
          <w:szCs w:val="24"/>
        </w:rPr>
        <w:t xml:space="preserve"> P, and Prasad G (2009). Genotyping of field strains of canine parvovirus in Haryana using PCR and RFLP, Indian J Anim Sciences.79:71</w:t>
      </w:r>
      <w:r w:rsidR="00351996">
        <w:rPr>
          <w:sz w:val="24"/>
          <w:szCs w:val="24"/>
        </w:rPr>
        <w:t xml:space="preserve"> </w:t>
      </w:r>
      <w:r w:rsidRPr="00561279">
        <w:rPr>
          <w:sz w:val="24"/>
          <w:szCs w:val="24"/>
        </w:rPr>
        <w:t>-</w:t>
      </w:r>
      <w:r w:rsidR="00351996">
        <w:rPr>
          <w:sz w:val="24"/>
          <w:szCs w:val="24"/>
        </w:rPr>
        <w:t xml:space="preserve"> </w:t>
      </w:r>
      <w:r w:rsidRPr="00561279">
        <w:rPr>
          <w:sz w:val="24"/>
          <w:szCs w:val="24"/>
        </w:rPr>
        <w:t>73.</w:t>
      </w:r>
    </w:p>
    <w:p w:rsidR="00AE2D73" w:rsidRPr="00561279" w:rsidRDefault="00AE2D73" w:rsidP="00CF2A24">
      <w:pPr>
        <w:numPr>
          <w:ilvl w:val="0"/>
          <w:numId w:val="3"/>
        </w:numPr>
        <w:spacing w:after="60" w:line="276" w:lineRule="auto"/>
        <w:jc w:val="both"/>
        <w:rPr>
          <w:sz w:val="24"/>
          <w:szCs w:val="24"/>
        </w:rPr>
      </w:pPr>
      <w:r w:rsidRPr="00561279">
        <w:rPr>
          <w:sz w:val="24"/>
          <w:szCs w:val="24"/>
        </w:rPr>
        <w:t xml:space="preserve">Smith LM, Sanders JZ, Kaiser RJ, Hughes P, Dodd C, Connell CR, </w:t>
      </w:r>
      <w:proofErr w:type="spellStart"/>
      <w:r w:rsidRPr="00561279">
        <w:rPr>
          <w:sz w:val="24"/>
          <w:szCs w:val="24"/>
        </w:rPr>
        <w:t>Heiner</w:t>
      </w:r>
      <w:proofErr w:type="spellEnd"/>
      <w:r w:rsidRPr="00561279">
        <w:rPr>
          <w:sz w:val="24"/>
          <w:szCs w:val="24"/>
        </w:rPr>
        <w:t xml:space="preserve"> C, Kent BH, Hood LE (1986). Fluorescence detection in automated DNA sequence analysis. Nature 321: 674</w:t>
      </w:r>
      <w:r w:rsidR="00351996">
        <w:rPr>
          <w:sz w:val="24"/>
          <w:szCs w:val="24"/>
        </w:rPr>
        <w:t xml:space="preserve"> </w:t>
      </w:r>
      <w:r w:rsidRPr="00561279">
        <w:rPr>
          <w:sz w:val="24"/>
          <w:szCs w:val="24"/>
        </w:rPr>
        <w:t>–</w:t>
      </w:r>
      <w:r w:rsidR="00351996">
        <w:rPr>
          <w:sz w:val="24"/>
          <w:szCs w:val="24"/>
        </w:rPr>
        <w:t xml:space="preserve"> </w:t>
      </w:r>
      <w:r w:rsidRPr="00561279">
        <w:rPr>
          <w:sz w:val="24"/>
          <w:szCs w:val="24"/>
        </w:rPr>
        <w:t>679.</w:t>
      </w:r>
    </w:p>
    <w:p w:rsidR="00AE2D73" w:rsidRDefault="00AE2D73" w:rsidP="00E57A0A">
      <w:pPr>
        <w:pStyle w:val="references"/>
        <w:numPr>
          <w:ilvl w:val="0"/>
          <w:numId w:val="3"/>
        </w:numPr>
        <w:spacing w:after="60" w:line="276" w:lineRule="auto"/>
        <w:rPr>
          <w:bCs/>
          <w:sz w:val="24"/>
          <w:szCs w:val="24"/>
        </w:rPr>
      </w:pPr>
      <w:r w:rsidRPr="00442021">
        <w:rPr>
          <w:bCs/>
          <w:sz w:val="24"/>
          <w:szCs w:val="24"/>
        </w:rPr>
        <w:t>Surendar S and Reddy YKM (2012).</w:t>
      </w:r>
      <w:r>
        <w:rPr>
          <w:bCs/>
          <w:sz w:val="24"/>
          <w:szCs w:val="24"/>
        </w:rPr>
        <w:t xml:space="preserve"> Development of multiplex RT-PCR</w:t>
      </w:r>
      <w:r w:rsidRPr="00442021">
        <w:rPr>
          <w:bCs/>
          <w:sz w:val="24"/>
          <w:szCs w:val="24"/>
        </w:rPr>
        <w:t xml:space="preserve"> for the determination of bluetongue virus serotypes</w:t>
      </w:r>
      <w:r>
        <w:rPr>
          <w:bCs/>
          <w:sz w:val="24"/>
          <w:szCs w:val="24"/>
        </w:rPr>
        <w:t xml:space="preserve">. Tamilnadu J. Vet. </w:t>
      </w:r>
      <w:r w:rsidRPr="00E57A0A">
        <w:rPr>
          <w:bCs/>
          <w:sz w:val="24"/>
          <w:szCs w:val="24"/>
        </w:rPr>
        <w:t xml:space="preserve"> Animal Sciences</w:t>
      </w:r>
      <w:r>
        <w:rPr>
          <w:bCs/>
          <w:sz w:val="24"/>
          <w:szCs w:val="24"/>
        </w:rPr>
        <w:t>.</w:t>
      </w:r>
      <w:r w:rsidRPr="00E57A0A">
        <w:rPr>
          <w:bCs/>
          <w:sz w:val="24"/>
          <w:szCs w:val="24"/>
        </w:rPr>
        <w:t xml:space="preserve"> 8 (2) </w:t>
      </w:r>
      <w:r>
        <w:rPr>
          <w:bCs/>
          <w:sz w:val="24"/>
          <w:szCs w:val="24"/>
        </w:rPr>
        <w:t>:</w:t>
      </w:r>
      <w:r w:rsidRPr="00E57A0A">
        <w:rPr>
          <w:bCs/>
          <w:sz w:val="24"/>
          <w:szCs w:val="24"/>
        </w:rPr>
        <w:t>101-103</w:t>
      </w:r>
      <w:r>
        <w:rPr>
          <w:bCs/>
          <w:sz w:val="24"/>
          <w:szCs w:val="24"/>
        </w:rPr>
        <w:t>.</w:t>
      </w:r>
    </w:p>
    <w:p w:rsidR="00AE2D73" w:rsidRPr="00561279" w:rsidRDefault="00AE2D73" w:rsidP="00CF2A24">
      <w:pPr>
        <w:pStyle w:val="references"/>
        <w:numPr>
          <w:ilvl w:val="0"/>
          <w:numId w:val="3"/>
        </w:numPr>
        <w:spacing w:after="60" w:line="276" w:lineRule="auto"/>
        <w:rPr>
          <w:sz w:val="24"/>
          <w:szCs w:val="24"/>
        </w:rPr>
      </w:pPr>
      <w:r w:rsidRPr="00561279">
        <w:rPr>
          <w:sz w:val="24"/>
          <w:szCs w:val="24"/>
        </w:rPr>
        <w:t xml:space="preserve">Susmitha B, Sudheer D, Rao PP, Uma M, Prasad G, Minakshi P, Hegde NR. and Reddy YN. (2012). Evidence of bluetongue virus serotype 21 (BTV-21) divergence. </w:t>
      </w:r>
      <w:r w:rsidRPr="00561279">
        <w:rPr>
          <w:sz w:val="24"/>
          <w:szCs w:val="24"/>
          <w:lang w:val="en-IN"/>
        </w:rPr>
        <w:t>Virus Genes.  44(3): 466-469</w:t>
      </w:r>
      <w:r w:rsidR="00782196">
        <w:rPr>
          <w:sz w:val="24"/>
          <w:szCs w:val="24"/>
          <w:lang w:val="en-IN"/>
        </w:rPr>
        <w:t>.</w:t>
      </w:r>
    </w:p>
    <w:p w:rsidR="00AE2D73" w:rsidRPr="00561279" w:rsidRDefault="00AE2D73" w:rsidP="00CF2A24">
      <w:pPr>
        <w:numPr>
          <w:ilvl w:val="0"/>
          <w:numId w:val="3"/>
        </w:numPr>
        <w:spacing w:after="60" w:line="276" w:lineRule="auto"/>
        <w:jc w:val="both"/>
        <w:rPr>
          <w:sz w:val="24"/>
          <w:szCs w:val="24"/>
        </w:rPr>
      </w:pPr>
      <w:proofErr w:type="spellStart"/>
      <w:r w:rsidRPr="00561279">
        <w:rPr>
          <w:sz w:val="24"/>
          <w:szCs w:val="24"/>
        </w:rPr>
        <w:t>Svensson</w:t>
      </w:r>
      <w:proofErr w:type="spellEnd"/>
      <w:r w:rsidRPr="00561279">
        <w:rPr>
          <w:sz w:val="24"/>
          <w:szCs w:val="24"/>
        </w:rPr>
        <w:t xml:space="preserve"> L, </w:t>
      </w:r>
      <w:proofErr w:type="spellStart"/>
      <w:r w:rsidRPr="00561279">
        <w:rPr>
          <w:sz w:val="24"/>
          <w:szCs w:val="24"/>
        </w:rPr>
        <w:t>Uhno</w:t>
      </w:r>
      <w:proofErr w:type="spellEnd"/>
      <w:r w:rsidRPr="00561279">
        <w:rPr>
          <w:sz w:val="24"/>
          <w:szCs w:val="24"/>
        </w:rPr>
        <w:t xml:space="preserve">, I, </w:t>
      </w:r>
      <w:proofErr w:type="spellStart"/>
      <w:r w:rsidRPr="00561279">
        <w:rPr>
          <w:sz w:val="24"/>
          <w:szCs w:val="24"/>
        </w:rPr>
        <w:t>Grandien</w:t>
      </w:r>
      <w:proofErr w:type="spellEnd"/>
      <w:r w:rsidRPr="00561279">
        <w:rPr>
          <w:sz w:val="24"/>
          <w:szCs w:val="24"/>
        </w:rPr>
        <w:t xml:space="preserve"> M and </w:t>
      </w:r>
      <w:proofErr w:type="spellStart"/>
      <w:r w:rsidRPr="00561279">
        <w:rPr>
          <w:sz w:val="24"/>
          <w:szCs w:val="24"/>
        </w:rPr>
        <w:t>Wadeli</w:t>
      </w:r>
      <w:proofErr w:type="spellEnd"/>
      <w:r w:rsidRPr="00561279">
        <w:rPr>
          <w:sz w:val="24"/>
          <w:szCs w:val="24"/>
        </w:rPr>
        <w:t xml:space="preserve"> G (1986). Molecular epidemiology of rotavirus infections in </w:t>
      </w:r>
      <w:proofErr w:type="spellStart"/>
      <w:r w:rsidRPr="00561279">
        <w:rPr>
          <w:sz w:val="24"/>
          <w:szCs w:val="24"/>
        </w:rPr>
        <w:t>Upsala</w:t>
      </w:r>
      <w:proofErr w:type="spellEnd"/>
      <w:r w:rsidRPr="00561279">
        <w:rPr>
          <w:sz w:val="24"/>
          <w:szCs w:val="24"/>
        </w:rPr>
        <w:t xml:space="preserve">. Sweden. 1981; disappearance of a predominant </w:t>
      </w:r>
      <w:proofErr w:type="spellStart"/>
      <w:r w:rsidRPr="00561279">
        <w:rPr>
          <w:sz w:val="24"/>
          <w:szCs w:val="24"/>
        </w:rPr>
        <w:t>electropherotype</w:t>
      </w:r>
      <w:proofErr w:type="spellEnd"/>
      <w:r w:rsidRPr="00561279">
        <w:rPr>
          <w:sz w:val="24"/>
          <w:szCs w:val="24"/>
        </w:rPr>
        <w:t>. J. Med. Virol. 18: 101-111.</w:t>
      </w:r>
    </w:p>
    <w:p w:rsidR="00AE2D73" w:rsidRPr="00561279" w:rsidRDefault="00AE2D73" w:rsidP="00CF2A24">
      <w:pPr>
        <w:pStyle w:val="ListParagraph"/>
        <w:numPr>
          <w:ilvl w:val="0"/>
          <w:numId w:val="3"/>
        </w:numPr>
        <w:ind w:left="340" w:hanging="340"/>
        <w:rPr>
          <w:sz w:val="24"/>
          <w:szCs w:val="24"/>
        </w:rPr>
      </w:pPr>
      <w:proofErr w:type="spellStart"/>
      <w:r w:rsidRPr="00561279">
        <w:rPr>
          <w:sz w:val="24"/>
          <w:szCs w:val="24"/>
        </w:rPr>
        <w:t>Tonnessen</w:t>
      </w:r>
      <w:proofErr w:type="spellEnd"/>
      <w:r w:rsidRPr="00561279">
        <w:rPr>
          <w:sz w:val="24"/>
          <w:szCs w:val="24"/>
        </w:rPr>
        <w:t xml:space="preserve"> R, </w:t>
      </w:r>
      <w:proofErr w:type="spellStart"/>
      <w:r w:rsidRPr="00561279">
        <w:rPr>
          <w:sz w:val="24"/>
          <w:szCs w:val="24"/>
        </w:rPr>
        <w:t>Kristoffersen</w:t>
      </w:r>
      <w:proofErr w:type="spellEnd"/>
      <w:r w:rsidRPr="00561279">
        <w:rPr>
          <w:sz w:val="24"/>
          <w:szCs w:val="24"/>
        </w:rPr>
        <w:t xml:space="preserve"> A B, </w:t>
      </w:r>
      <w:proofErr w:type="spellStart"/>
      <w:r w:rsidRPr="00561279">
        <w:rPr>
          <w:sz w:val="24"/>
          <w:szCs w:val="24"/>
        </w:rPr>
        <w:t>Jonassen</w:t>
      </w:r>
      <w:proofErr w:type="spellEnd"/>
      <w:r w:rsidRPr="00561279">
        <w:rPr>
          <w:sz w:val="24"/>
          <w:szCs w:val="24"/>
        </w:rPr>
        <w:t xml:space="preserve"> CM, </w:t>
      </w:r>
      <w:proofErr w:type="spellStart"/>
      <w:r w:rsidRPr="00561279">
        <w:rPr>
          <w:sz w:val="24"/>
          <w:szCs w:val="24"/>
        </w:rPr>
        <w:t>Hjortaas</w:t>
      </w:r>
      <w:proofErr w:type="spellEnd"/>
      <w:r w:rsidRPr="00561279">
        <w:rPr>
          <w:sz w:val="24"/>
          <w:szCs w:val="24"/>
        </w:rPr>
        <w:t xml:space="preserve"> MJ, Hansen EF, </w:t>
      </w:r>
      <w:proofErr w:type="spellStart"/>
      <w:r w:rsidRPr="00561279">
        <w:rPr>
          <w:sz w:val="24"/>
          <w:szCs w:val="24"/>
        </w:rPr>
        <w:t>Rimstad</w:t>
      </w:r>
      <w:proofErr w:type="spellEnd"/>
      <w:r w:rsidRPr="00561279">
        <w:rPr>
          <w:sz w:val="24"/>
          <w:szCs w:val="24"/>
        </w:rPr>
        <w:t xml:space="preserve"> E and </w:t>
      </w:r>
      <w:proofErr w:type="spellStart"/>
      <w:r w:rsidRPr="00561279">
        <w:rPr>
          <w:sz w:val="24"/>
          <w:szCs w:val="24"/>
        </w:rPr>
        <w:t>Hauge</w:t>
      </w:r>
      <w:proofErr w:type="spellEnd"/>
      <w:r w:rsidRPr="00561279">
        <w:rPr>
          <w:sz w:val="24"/>
          <w:szCs w:val="24"/>
        </w:rPr>
        <w:t xml:space="preserve"> AG (</w:t>
      </w:r>
      <w:r w:rsidRPr="00561279">
        <w:rPr>
          <w:sz w:val="24"/>
          <w:szCs w:val="24"/>
          <w:lang w:val="en-US"/>
        </w:rPr>
        <w:t xml:space="preserve">2013). </w:t>
      </w:r>
      <w:r w:rsidRPr="00561279">
        <w:rPr>
          <w:sz w:val="24"/>
          <w:szCs w:val="24"/>
        </w:rPr>
        <w:t>Molecular and epidemiological characterization of avian influenza viruses from gulls and dabbling ducks in Norway.</w:t>
      </w:r>
      <w:r w:rsidRPr="00561279">
        <w:rPr>
          <w:sz w:val="24"/>
          <w:szCs w:val="24"/>
          <w:lang w:val="en-US"/>
        </w:rPr>
        <w:t xml:space="preserve"> Virol. J. 10:112.</w:t>
      </w:r>
    </w:p>
    <w:p w:rsidR="00AE2D73" w:rsidRPr="00561279" w:rsidRDefault="00AE2D73" w:rsidP="00CF2A24">
      <w:pPr>
        <w:numPr>
          <w:ilvl w:val="0"/>
          <w:numId w:val="3"/>
        </w:numPr>
        <w:spacing w:after="60" w:line="276" w:lineRule="auto"/>
        <w:jc w:val="both"/>
        <w:rPr>
          <w:rStyle w:val="citation"/>
          <w:sz w:val="24"/>
          <w:szCs w:val="24"/>
          <w:lang w:val="en-GB"/>
        </w:rPr>
      </w:pPr>
      <w:proofErr w:type="spellStart"/>
      <w:r w:rsidRPr="00561279">
        <w:rPr>
          <w:sz w:val="24"/>
          <w:szCs w:val="24"/>
        </w:rPr>
        <w:lastRenderedPageBreak/>
        <w:t>Vishwaradhya</w:t>
      </w:r>
      <w:proofErr w:type="spellEnd"/>
      <w:r w:rsidRPr="00561279">
        <w:rPr>
          <w:sz w:val="24"/>
          <w:szCs w:val="24"/>
        </w:rPr>
        <w:t xml:space="preserve"> TM, Minakshi P, Ranjan K, </w:t>
      </w:r>
      <w:proofErr w:type="spellStart"/>
      <w:r w:rsidRPr="00561279">
        <w:rPr>
          <w:sz w:val="24"/>
          <w:szCs w:val="24"/>
        </w:rPr>
        <w:t>Supriya</w:t>
      </w:r>
      <w:proofErr w:type="spellEnd"/>
      <w:r w:rsidRPr="00561279">
        <w:rPr>
          <w:sz w:val="24"/>
          <w:szCs w:val="24"/>
        </w:rPr>
        <w:t>, Kumar P and Prasad G (2013). Sensitive detection of novel Indian isolate of BTV 21 using ns1 gene based real-time PCR assay. 6(8): 554-557.</w:t>
      </w:r>
    </w:p>
    <w:p w:rsidR="007D4E1A" w:rsidRPr="0000312A" w:rsidRDefault="00AE2D73" w:rsidP="00844824">
      <w:pPr>
        <w:pStyle w:val="references"/>
        <w:numPr>
          <w:ilvl w:val="0"/>
          <w:numId w:val="3"/>
        </w:numPr>
        <w:spacing w:after="60" w:line="276" w:lineRule="auto"/>
        <w:rPr>
          <w:bCs/>
          <w:sz w:val="24"/>
          <w:szCs w:val="24"/>
        </w:rPr>
      </w:pPr>
      <w:r w:rsidRPr="0000312A">
        <w:rPr>
          <w:sz w:val="24"/>
          <w:szCs w:val="24"/>
          <w:shd w:val="clear" w:color="auto" w:fill="FFFFFF"/>
        </w:rPr>
        <w:t>Yu G, Zhang D, Guo F, Tan M, Jiang X, Jiang W (2013). Cryo-EM Structure of a Novel Calicivirus, Tulane Virus. PLoS ONE 8(3): e59817.</w:t>
      </w: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Default="0000312A" w:rsidP="0000312A">
      <w:pPr>
        <w:pStyle w:val="references"/>
        <w:numPr>
          <w:ilvl w:val="0"/>
          <w:numId w:val="0"/>
        </w:numPr>
        <w:spacing w:after="60" w:line="276" w:lineRule="auto"/>
        <w:ind w:left="360" w:hanging="360"/>
        <w:rPr>
          <w:sz w:val="24"/>
          <w:szCs w:val="24"/>
          <w:shd w:val="clear" w:color="auto" w:fill="FFFFFF"/>
        </w:rPr>
      </w:pPr>
    </w:p>
    <w:p w:rsidR="0000312A" w:rsidRPr="0000312A" w:rsidRDefault="0000312A" w:rsidP="0000312A">
      <w:pPr>
        <w:pStyle w:val="references"/>
        <w:numPr>
          <w:ilvl w:val="0"/>
          <w:numId w:val="0"/>
        </w:numPr>
        <w:spacing w:after="60" w:line="276" w:lineRule="auto"/>
        <w:ind w:left="360" w:hanging="360"/>
        <w:rPr>
          <w:bCs/>
          <w:sz w:val="24"/>
          <w:szCs w:val="24"/>
        </w:rPr>
      </w:pPr>
    </w:p>
    <w:p w:rsidR="00CF2A24" w:rsidRPr="00561279" w:rsidRDefault="006251C9" w:rsidP="00162360">
      <w:pPr>
        <w:spacing w:before="100" w:beforeAutospacing="1" w:after="100" w:afterAutospacing="1" w:line="276" w:lineRule="auto"/>
        <w:rPr>
          <w:bCs/>
          <w:sz w:val="24"/>
          <w:szCs w:val="24"/>
        </w:rPr>
      </w:pPr>
      <w:r>
        <w:rPr>
          <w:bCs/>
          <w:sz w:val="24"/>
          <w:szCs w:val="24"/>
        </w:rPr>
        <w:lastRenderedPageBreak/>
        <w:t>Figures</w:t>
      </w:r>
    </w:p>
    <w:p w:rsidR="00CF2A24" w:rsidRPr="00561279" w:rsidRDefault="00CF2A24" w:rsidP="00CF2A24">
      <w:pPr>
        <w:spacing w:before="100" w:beforeAutospacing="1" w:after="100" w:afterAutospacing="1" w:line="276" w:lineRule="auto"/>
        <w:rPr>
          <w:bCs/>
          <w:sz w:val="24"/>
          <w:szCs w:val="24"/>
        </w:rPr>
      </w:pPr>
      <w:r>
        <w:rPr>
          <w:bCs/>
          <w:noProof/>
          <w:sz w:val="24"/>
          <w:szCs w:val="24"/>
          <w:lang w:bidi="hi-IN"/>
        </w:rPr>
        <w:drawing>
          <wp:inline distT="0" distB="0" distL="0" distR="0">
            <wp:extent cx="4772025" cy="1531321"/>
            <wp:effectExtent l="19050" t="0" r="9525" b="0"/>
            <wp:docPr id="1" name="Picture 1" descr="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 1"/>
                    <pic:cNvPicPr>
                      <a:picLocks noChangeAspect="1" noChangeArrowheads="1"/>
                    </pic:cNvPicPr>
                  </pic:nvPicPr>
                  <pic:blipFill>
                    <a:blip r:embed="rId6" cstate="print"/>
                    <a:srcRect/>
                    <a:stretch>
                      <a:fillRect/>
                    </a:stretch>
                  </pic:blipFill>
                  <pic:spPr bwMode="auto">
                    <a:xfrm>
                      <a:off x="0" y="0"/>
                      <a:ext cx="4772025" cy="1531321"/>
                    </a:xfrm>
                    <a:prstGeom prst="rect">
                      <a:avLst/>
                    </a:prstGeom>
                    <a:noFill/>
                    <a:ln w="9525">
                      <a:noFill/>
                      <a:miter lim="800000"/>
                      <a:headEnd/>
                      <a:tailEnd/>
                    </a:ln>
                  </pic:spPr>
                </pic:pic>
              </a:graphicData>
            </a:graphic>
          </wp:inline>
        </w:drawing>
      </w:r>
    </w:p>
    <w:p w:rsidR="00CF2A24" w:rsidRPr="00561279" w:rsidRDefault="00E70815" w:rsidP="00CF2A24">
      <w:pPr>
        <w:spacing w:before="100" w:beforeAutospacing="1" w:after="100" w:afterAutospacing="1" w:line="276" w:lineRule="auto"/>
        <w:jc w:val="both"/>
        <w:rPr>
          <w:rFonts w:eastAsia="Times New Roman"/>
          <w:sz w:val="24"/>
          <w:szCs w:val="24"/>
        </w:rPr>
      </w:pPr>
      <w:proofErr w:type="gramStart"/>
      <w:r>
        <w:rPr>
          <w:rFonts w:eastAsia="Times New Roman"/>
          <w:sz w:val="24"/>
          <w:szCs w:val="24"/>
        </w:rPr>
        <w:t>Fig.1</w:t>
      </w:r>
      <w:r w:rsidR="00CF2A24" w:rsidRPr="00561279">
        <w:rPr>
          <w:rFonts w:eastAsia="Times New Roman"/>
          <w:sz w:val="24"/>
          <w:szCs w:val="24"/>
        </w:rPr>
        <w:t xml:space="preserve"> Isolation of bluetongue virus in BHK-21 cell line.</w:t>
      </w:r>
      <w:proofErr w:type="gramEnd"/>
      <w:r w:rsidR="00CF2A24" w:rsidRPr="00561279">
        <w:rPr>
          <w:rFonts w:eastAsia="Times New Roman"/>
          <w:sz w:val="24"/>
          <w:szCs w:val="24"/>
        </w:rPr>
        <w:t xml:space="preserve"> A: Normal uninfected BHK- 21 cell monolayer (48</w:t>
      </w:r>
      <w:r w:rsidR="00842964">
        <w:rPr>
          <w:rFonts w:eastAsia="Times New Roman"/>
          <w:sz w:val="24"/>
          <w:szCs w:val="24"/>
        </w:rPr>
        <w:t xml:space="preserve"> </w:t>
      </w:r>
      <w:r w:rsidR="00CF2A24" w:rsidRPr="00561279">
        <w:rPr>
          <w:rFonts w:eastAsia="Times New Roman"/>
          <w:sz w:val="24"/>
          <w:szCs w:val="24"/>
        </w:rPr>
        <w:t>hours). B: BTV infected BHK 21 cells (48 hours) showing cytopathic effect characterized by rounding and degeneration of the infected cells.</w:t>
      </w:r>
    </w:p>
    <w:p w:rsidR="00CF2A24" w:rsidRPr="00561279" w:rsidRDefault="00CF2A24" w:rsidP="00CF2A24">
      <w:pPr>
        <w:spacing w:before="100" w:beforeAutospacing="1" w:after="100" w:afterAutospacing="1" w:line="276" w:lineRule="auto"/>
        <w:rPr>
          <w:rFonts w:eastAsia="Times New Roman"/>
          <w:bCs/>
          <w:sz w:val="24"/>
          <w:szCs w:val="24"/>
          <w:lang w:eastAsia="en-IN"/>
        </w:rPr>
      </w:pPr>
      <w:r>
        <w:rPr>
          <w:rFonts w:eastAsia="Times New Roman"/>
          <w:bCs/>
          <w:noProof/>
          <w:sz w:val="24"/>
          <w:szCs w:val="24"/>
          <w:lang w:bidi="hi-IN"/>
        </w:rPr>
        <w:drawing>
          <wp:inline distT="0" distB="0" distL="0" distR="0">
            <wp:extent cx="2886075" cy="2184487"/>
            <wp:effectExtent l="19050" t="0" r="9525" b="0"/>
            <wp:docPr id="2" name="Picture 2" descr="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 2"/>
                    <pic:cNvPicPr>
                      <a:picLocks noChangeAspect="1" noChangeArrowheads="1"/>
                    </pic:cNvPicPr>
                  </pic:nvPicPr>
                  <pic:blipFill>
                    <a:blip r:embed="rId7" cstate="print"/>
                    <a:srcRect/>
                    <a:stretch>
                      <a:fillRect/>
                    </a:stretch>
                  </pic:blipFill>
                  <pic:spPr bwMode="auto">
                    <a:xfrm>
                      <a:off x="0" y="0"/>
                      <a:ext cx="2886075" cy="2184487"/>
                    </a:xfrm>
                    <a:prstGeom prst="rect">
                      <a:avLst/>
                    </a:prstGeom>
                    <a:noFill/>
                    <a:ln w="9525">
                      <a:noFill/>
                      <a:miter lim="800000"/>
                      <a:headEnd/>
                      <a:tailEnd/>
                    </a:ln>
                  </pic:spPr>
                </pic:pic>
              </a:graphicData>
            </a:graphic>
          </wp:inline>
        </w:drawing>
      </w:r>
    </w:p>
    <w:p w:rsidR="00CF2A24" w:rsidRDefault="00CF2A24" w:rsidP="00CF2A24">
      <w:pPr>
        <w:spacing w:before="100" w:beforeAutospacing="1" w:after="100" w:afterAutospacing="1" w:line="276" w:lineRule="auto"/>
        <w:jc w:val="both"/>
        <w:rPr>
          <w:rFonts w:eastAsia="Times New Roman"/>
          <w:bCs/>
          <w:sz w:val="24"/>
          <w:szCs w:val="24"/>
          <w:lang w:eastAsia="en-IN"/>
        </w:rPr>
      </w:pPr>
      <w:r w:rsidRPr="00561279">
        <w:rPr>
          <w:rFonts w:eastAsia="Times New Roman"/>
          <w:bCs/>
          <w:sz w:val="24"/>
          <w:szCs w:val="24"/>
          <w:lang w:eastAsia="en-IN"/>
        </w:rPr>
        <w:t xml:space="preserve">Fig. 2 </w:t>
      </w:r>
      <w:r w:rsidR="00161354">
        <w:rPr>
          <w:rFonts w:eastAsia="Times New Roman"/>
          <w:bCs/>
          <w:sz w:val="24"/>
          <w:szCs w:val="24"/>
          <w:lang w:eastAsia="en-IN"/>
        </w:rPr>
        <w:t>BHK -21 cells infected with BTV, e</w:t>
      </w:r>
      <w:r w:rsidRPr="00561279">
        <w:rPr>
          <w:rFonts w:eastAsia="Times New Roman"/>
          <w:bCs/>
          <w:sz w:val="24"/>
          <w:szCs w:val="24"/>
          <w:lang w:eastAsia="en-IN"/>
        </w:rPr>
        <w:t>xhibiting several virus particles in the cytoplasm of the cells by transmission electron microscopy.</w:t>
      </w:r>
    </w:p>
    <w:p w:rsidR="00FD0CE2" w:rsidRPr="00561279" w:rsidRDefault="00FD0CE2" w:rsidP="00FD0CE2">
      <w:pPr>
        <w:spacing w:before="100" w:beforeAutospacing="1" w:after="100" w:afterAutospacing="1" w:line="276" w:lineRule="auto"/>
        <w:rPr>
          <w:rFonts w:eastAsia="Times New Roman"/>
          <w:bCs/>
          <w:sz w:val="24"/>
          <w:szCs w:val="24"/>
          <w:lang w:eastAsia="en-IN"/>
        </w:rPr>
      </w:pPr>
      <w:r>
        <w:rPr>
          <w:rFonts w:eastAsia="Times New Roman"/>
          <w:bCs/>
          <w:noProof/>
          <w:sz w:val="24"/>
          <w:szCs w:val="24"/>
          <w:lang w:bidi="hi-IN"/>
        </w:rPr>
        <w:drawing>
          <wp:inline distT="0" distB="0" distL="0" distR="0">
            <wp:extent cx="1916024" cy="1743075"/>
            <wp:effectExtent l="19050" t="0" r="8026" b="0"/>
            <wp:docPr id="13" name="Picture 12" descr="photo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s.tif"/>
                    <pic:cNvPicPr/>
                  </pic:nvPicPr>
                  <pic:blipFill>
                    <a:blip r:embed="rId8" cstate="print"/>
                    <a:stretch>
                      <a:fillRect/>
                    </a:stretch>
                  </pic:blipFill>
                  <pic:spPr>
                    <a:xfrm>
                      <a:off x="0" y="0"/>
                      <a:ext cx="1919792" cy="1746503"/>
                    </a:xfrm>
                    <a:prstGeom prst="rect">
                      <a:avLst/>
                    </a:prstGeom>
                  </pic:spPr>
                </pic:pic>
              </a:graphicData>
            </a:graphic>
          </wp:inline>
        </w:drawing>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Fig. 3 Dot immunobinding assay showing dots of antigen on the dipstick membrane with BTV positive sera</w:t>
      </w:r>
      <w:r>
        <w:rPr>
          <w:sz w:val="24"/>
          <w:szCs w:val="24"/>
        </w:rPr>
        <w:t>.</w:t>
      </w:r>
    </w:p>
    <w:p w:rsidR="00CF2A24" w:rsidRPr="00561279" w:rsidRDefault="00CF2A24" w:rsidP="00CF2A24">
      <w:pPr>
        <w:spacing w:before="100" w:beforeAutospacing="1" w:after="100" w:afterAutospacing="1" w:line="276" w:lineRule="auto"/>
        <w:rPr>
          <w:rFonts w:eastAsia="Times New Roman"/>
          <w:sz w:val="24"/>
          <w:szCs w:val="24"/>
        </w:rPr>
      </w:pPr>
      <w:r>
        <w:rPr>
          <w:rFonts w:eastAsia="Times New Roman"/>
          <w:noProof/>
          <w:sz w:val="24"/>
          <w:szCs w:val="24"/>
          <w:lang w:bidi="hi-IN"/>
        </w:rPr>
        <w:lastRenderedPageBreak/>
        <w:drawing>
          <wp:inline distT="0" distB="0" distL="0" distR="0">
            <wp:extent cx="3000375" cy="1947612"/>
            <wp:effectExtent l="19050" t="0" r="9525" b="0"/>
            <wp:docPr id="4" name="Picture 4" descr="p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 4"/>
                    <pic:cNvPicPr>
                      <a:picLocks noChangeAspect="1" noChangeArrowheads="1"/>
                    </pic:cNvPicPr>
                  </pic:nvPicPr>
                  <pic:blipFill>
                    <a:blip r:embed="rId9" cstate="print"/>
                    <a:srcRect/>
                    <a:stretch>
                      <a:fillRect/>
                    </a:stretch>
                  </pic:blipFill>
                  <pic:spPr bwMode="auto">
                    <a:xfrm>
                      <a:off x="0" y="0"/>
                      <a:ext cx="3000375" cy="1947612"/>
                    </a:xfrm>
                    <a:prstGeom prst="rect">
                      <a:avLst/>
                    </a:prstGeom>
                    <a:noFill/>
                    <a:ln w="9525">
                      <a:noFill/>
                      <a:miter lim="800000"/>
                      <a:headEnd/>
                      <a:tailEnd/>
                    </a:ln>
                  </pic:spPr>
                </pic:pic>
              </a:graphicData>
            </a:graphic>
          </wp:inline>
        </w:drawing>
      </w:r>
    </w:p>
    <w:p w:rsidR="00CF2A24" w:rsidRDefault="00CF2A24" w:rsidP="00CF2A24">
      <w:pPr>
        <w:spacing w:before="100" w:beforeAutospacing="1" w:after="100" w:afterAutospacing="1" w:line="276" w:lineRule="auto"/>
        <w:jc w:val="both"/>
        <w:rPr>
          <w:rFonts w:eastAsia="Times New Roman"/>
          <w:sz w:val="24"/>
          <w:szCs w:val="24"/>
        </w:rPr>
      </w:pPr>
      <w:r w:rsidRPr="00561279">
        <w:rPr>
          <w:rFonts w:eastAsia="Times New Roman"/>
          <w:sz w:val="24"/>
          <w:szCs w:val="24"/>
        </w:rPr>
        <w:t>Fig. 4 BHK-21 cell line infected with BTV and stained with FITC. The infected cells are showing extensive green fluorescence.</w:t>
      </w:r>
    </w:p>
    <w:p w:rsidR="00AF1316" w:rsidRDefault="00AF1316" w:rsidP="00AF1316">
      <w:pPr>
        <w:spacing w:before="100" w:beforeAutospacing="1" w:after="100" w:afterAutospacing="1" w:line="276" w:lineRule="auto"/>
        <w:rPr>
          <w:rFonts w:eastAsia="Times New Roman"/>
          <w:sz w:val="24"/>
          <w:szCs w:val="24"/>
        </w:rPr>
      </w:pPr>
      <w:r>
        <w:rPr>
          <w:rFonts w:eastAsia="Times New Roman"/>
          <w:noProof/>
          <w:sz w:val="24"/>
          <w:szCs w:val="24"/>
          <w:lang w:bidi="hi-IN"/>
        </w:rPr>
        <w:drawing>
          <wp:inline distT="0" distB="0" distL="0" distR="0">
            <wp:extent cx="3009900" cy="1631172"/>
            <wp:effectExtent l="19050" t="0" r="0" b="0"/>
            <wp:docPr id="5" name="Picture 4" descr="photo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s.tif"/>
                    <pic:cNvPicPr/>
                  </pic:nvPicPr>
                  <pic:blipFill>
                    <a:blip r:embed="rId10" cstate="print"/>
                    <a:stretch>
                      <a:fillRect/>
                    </a:stretch>
                  </pic:blipFill>
                  <pic:spPr>
                    <a:xfrm>
                      <a:off x="0" y="0"/>
                      <a:ext cx="3011666" cy="1632129"/>
                    </a:xfrm>
                    <a:prstGeom prst="rect">
                      <a:avLst/>
                    </a:prstGeom>
                  </pic:spPr>
                </pic:pic>
              </a:graphicData>
            </a:graphic>
          </wp:inline>
        </w:drawing>
      </w:r>
    </w:p>
    <w:p w:rsidR="00D3012B" w:rsidRPr="00561279" w:rsidRDefault="0036154A" w:rsidP="00D3012B">
      <w:pPr>
        <w:spacing w:before="100" w:beforeAutospacing="1" w:after="100" w:afterAutospacing="1" w:line="276" w:lineRule="auto"/>
        <w:jc w:val="both"/>
        <w:rPr>
          <w:sz w:val="24"/>
          <w:szCs w:val="24"/>
        </w:rPr>
      </w:pPr>
      <w:r>
        <w:rPr>
          <w:sz w:val="24"/>
          <w:szCs w:val="24"/>
        </w:rPr>
        <w:t>Fig.</w:t>
      </w:r>
      <w:r w:rsidR="00E70815">
        <w:rPr>
          <w:sz w:val="24"/>
          <w:szCs w:val="24"/>
        </w:rPr>
        <w:t xml:space="preserve"> </w:t>
      </w:r>
      <w:r>
        <w:rPr>
          <w:sz w:val="24"/>
          <w:szCs w:val="24"/>
        </w:rPr>
        <w:t xml:space="preserve">5 </w:t>
      </w:r>
      <w:r w:rsidR="00D85229">
        <w:rPr>
          <w:sz w:val="24"/>
          <w:szCs w:val="24"/>
        </w:rPr>
        <w:t xml:space="preserve">VP4 gene </w:t>
      </w:r>
      <w:r w:rsidR="00810560">
        <w:rPr>
          <w:sz w:val="24"/>
          <w:szCs w:val="24"/>
        </w:rPr>
        <w:t xml:space="preserve">based </w:t>
      </w:r>
      <w:r w:rsidR="00810560" w:rsidRPr="00561279">
        <w:rPr>
          <w:sz w:val="24"/>
          <w:szCs w:val="24"/>
        </w:rPr>
        <w:t>genotyping</w:t>
      </w:r>
      <w:r w:rsidR="00CF2A24" w:rsidRPr="00561279">
        <w:rPr>
          <w:sz w:val="24"/>
          <w:szCs w:val="24"/>
        </w:rPr>
        <w:t xml:space="preserve"> of bovine group ‘A’ rotavirus by </w:t>
      </w:r>
      <w:r w:rsidR="00DB1707">
        <w:rPr>
          <w:sz w:val="24"/>
          <w:szCs w:val="24"/>
        </w:rPr>
        <w:t>r</w:t>
      </w:r>
      <w:r w:rsidR="00CF2A24" w:rsidRPr="00561279">
        <w:rPr>
          <w:sz w:val="24"/>
          <w:szCs w:val="24"/>
        </w:rPr>
        <w:t>adio-labeled probes.</w:t>
      </w:r>
      <w:r w:rsidR="00D3012B">
        <w:rPr>
          <w:sz w:val="24"/>
          <w:szCs w:val="24"/>
        </w:rPr>
        <w:t xml:space="preserve"> Membrane A: detection of homologous </w:t>
      </w:r>
      <w:proofErr w:type="spellStart"/>
      <w:r w:rsidR="00D3012B">
        <w:rPr>
          <w:sz w:val="24"/>
          <w:szCs w:val="24"/>
        </w:rPr>
        <w:t>dsRNA</w:t>
      </w:r>
      <w:proofErr w:type="spellEnd"/>
      <w:r w:rsidR="00D3012B">
        <w:rPr>
          <w:sz w:val="24"/>
          <w:szCs w:val="24"/>
        </w:rPr>
        <w:t xml:space="preserve"> by full length vp4 probe; membrane B: P1 type and membrane C:</w:t>
      </w:r>
      <w:r w:rsidR="00915022">
        <w:rPr>
          <w:sz w:val="24"/>
          <w:szCs w:val="24"/>
        </w:rPr>
        <w:t xml:space="preserve"> </w:t>
      </w:r>
      <w:r w:rsidR="00D3012B">
        <w:rPr>
          <w:sz w:val="24"/>
          <w:szCs w:val="24"/>
        </w:rPr>
        <w:t>P5 type and membrane D: P11 type.</w:t>
      </w:r>
    </w:p>
    <w:p w:rsidR="00CF2A24" w:rsidRPr="00561279" w:rsidRDefault="00CF2A24" w:rsidP="00CF2A24">
      <w:pPr>
        <w:spacing w:before="100" w:beforeAutospacing="1" w:after="100" w:afterAutospacing="1" w:line="276" w:lineRule="auto"/>
        <w:rPr>
          <w:sz w:val="24"/>
          <w:szCs w:val="24"/>
          <w:lang w:val="en-IN"/>
        </w:rPr>
      </w:pPr>
      <w:r>
        <w:rPr>
          <w:noProof/>
          <w:sz w:val="24"/>
          <w:szCs w:val="24"/>
          <w:lang w:bidi="hi-IN"/>
        </w:rPr>
        <w:drawing>
          <wp:inline distT="0" distB="0" distL="0" distR="0">
            <wp:extent cx="2162175" cy="1901672"/>
            <wp:effectExtent l="0" t="0" r="0" b="0"/>
            <wp:docPr id="6" name="Picture 6" descr="DIG R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G ROTA"/>
                    <pic:cNvPicPr>
                      <a:picLocks noChangeAspect="1" noChangeArrowheads="1"/>
                    </pic:cNvPicPr>
                  </pic:nvPicPr>
                  <pic:blipFill>
                    <a:blip r:embed="rId11" cstate="print"/>
                    <a:srcRect l="10667"/>
                    <a:stretch>
                      <a:fillRect/>
                    </a:stretch>
                  </pic:blipFill>
                  <pic:spPr bwMode="auto">
                    <a:xfrm>
                      <a:off x="0" y="0"/>
                      <a:ext cx="2162175" cy="1901672"/>
                    </a:xfrm>
                    <a:prstGeom prst="rect">
                      <a:avLst/>
                    </a:prstGeom>
                    <a:noFill/>
                    <a:ln w="9525">
                      <a:noFill/>
                      <a:miter lim="800000"/>
                      <a:headEnd/>
                      <a:tailEnd/>
                    </a:ln>
                  </pic:spPr>
                </pic:pic>
              </a:graphicData>
            </a:graphic>
          </wp:inline>
        </w:drawing>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Fig.</w:t>
      </w:r>
      <w:r w:rsidR="00E70815">
        <w:rPr>
          <w:sz w:val="24"/>
          <w:szCs w:val="24"/>
        </w:rPr>
        <w:t xml:space="preserve"> </w:t>
      </w:r>
      <w:r w:rsidRPr="00561279">
        <w:rPr>
          <w:sz w:val="24"/>
          <w:szCs w:val="24"/>
        </w:rPr>
        <w:t>6 VP7 gene based Genotyping of bovine group ‘A’ rotavirus by DIG-labeled probes</w:t>
      </w:r>
      <w:r>
        <w:rPr>
          <w:sz w:val="24"/>
          <w:szCs w:val="24"/>
        </w:rPr>
        <w:t xml:space="preserve">. Membrane A: G6 type; membrane B: G10 type and membrane C: detection of homologous </w:t>
      </w:r>
      <w:proofErr w:type="spellStart"/>
      <w:r>
        <w:rPr>
          <w:sz w:val="24"/>
          <w:szCs w:val="24"/>
        </w:rPr>
        <w:t>dsRNA</w:t>
      </w:r>
      <w:proofErr w:type="spellEnd"/>
      <w:r>
        <w:rPr>
          <w:sz w:val="24"/>
          <w:szCs w:val="24"/>
        </w:rPr>
        <w:t xml:space="preserve"> by full length vp7 genomic probe.</w:t>
      </w:r>
    </w:p>
    <w:p w:rsidR="00CF2A24" w:rsidRPr="00561279" w:rsidRDefault="00CF2A24" w:rsidP="00CF2A24">
      <w:pPr>
        <w:spacing w:before="100" w:beforeAutospacing="1" w:after="100" w:afterAutospacing="1" w:line="276" w:lineRule="auto"/>
        <w:rPr>
          <w:sz w:val="24"/>
          <w:szCs w:val="24"/>
        </w:rPr>
      </w:pPr>
      <w:r>
        <w:rPr>
          <w:noProof/>
          <w:sz w:val="24"/>
          <w:szCs w:val="24"/>
          <w:lang w:bidi="hi-IN"/>
        </w:rPr>
        <w:lastRenderedPageBreak/>
        <w:drawing>
          <wp:inline distT="0" distB="0" distL="0" distR="0">
            <wp:extent cx="3400425" cy="1799693"/>
            <wp:effectExtent l="0" t="0" r="0" b="0"/>
            <wp:docPr id="7" name="Picture 7" descr="p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 8"/>
                    <pic:cNvPicPr>
                      <a:picLocks noChangeAspect="1" noChangeArrowheads="1"/>
                    </pic:cNvPicPr>
                  </pic:nvPicPr>
                  <pic:blipFill>
                    <a:blip r:embed="rId12" cstate="print"/>
                    <a:srcRect/>
                    <a:stretch>
                      <a:fillRect/>
                    </a:stretch>
                  </pic:blipFill>
                  <pic:spPr bwMode="auto">
                    <a:xfrm>
                      <a:off x="0" y="0"/>
                      <a:ext cx="3400425" cy="1799693"/>
                    </a:xfrm>
                    <a:prstGeom prst="rect">
                      <a:avLst/>
                    </a:prstGeom>
                    <a:noFill/>
                    <a:ln w="9525">
                      <a:noFill/>
                      <a:miter lim="800000"/>
                      <a:headEnd/>
                      <a:tailEnd/>
                    </a:ln>
                  </pic:spPr>
                </pic:pic>
              </a:graphicData>
            </a:graphic>
          </wp:inline>
        </w:drawing>
      </w:r>
    </w:p>
    <w:p w:rsidR="00CF2A24" w:rsidRPr="00561279" w:rsidRDefault="005D192E" w:rsidP="00CF2A24">
      <w:pPr>
        <w:spacing w:before="100" w:beforeAutospacing="1" w:after="100" w:afterAutospacing="1" w:line="276" w:lineRule="auto"/>
        <w:jc w:val="both"/>
        <w:rPr>
          <w:rFonts w:eastAsia="Calibri"/>
          <w:sz w:val="24"/>
          <w:szCs w:val="24"/>
        </w:rPr>
      </w:pPr>
      <w:proofErr w:type="gramStart"/>
      <w:r>
        <w:rPr>
          <w:rFonts w:eastAsia="Calibri"/>
          <w:sz w:val="24"/>
          <w:szCs w:val="24"/>
        </w:rPr>
        <w:t>Fig.</w:t>
      </w:r>
      <w:r w:rsidR="00E70815">
        <w:rPr>
          <w:rFonts w:eastAsia="Calibri"/>
          <w:sz w:val="24"/>
          <w:szCs w:val="24"/>
        </w:rPr>
        <w:t xml:space="preserve"> </w:t>
      </w:r>
      <w:r>
        <w:rPr>
          <w:rFonts w:eastAsia="Calibri"/>
          <w:sz w:val="24"/>
          <w:szCs w:val="24"/>
        </w:rPr>
        <w:t>7</w:t>
      </w:r>
      <w:r w:rsidR="00CF2A24" w:rsidRPr="00561279">
        <w:rPr>
          <w:rFonts w:eastAsia="Calibri"/>
          <w:sz w:val="24"/>
          <w:szCs w:val="24"/>
        </w:rPr>
        <w:t xml:space="preserve"> PCR products of VP2 gene of canine parvovirus yielding 2.2 kb product</w:t>
      </w:r>
      <w:r w:rsidR="00CF2A24">
        <w:rPr>
          <w:rFonts w:eastAsia="Calibri"/>
          <w:sz w:val="24"/>
          <w:szCs w:val="24"/>
        </w:rPr>
        <w:t>.</w:t>
      </w:r>
      <w:proofErr w:type="gramEnd"/>
      <w:r w:rsidR="00CF2A24">
        <w:rPr>
          <w:rFonts w:eastAsia="Calibri"/>
          <w:sz w:val="24"/>
          <w:szCs w:val="24"/>
        </w:rPr>
        <w:t xml:space="preserve"> Lane M: Marker 1kb</w:t>
      </w:r>
      <w:r w:rsidR="007E5E84">
        <w:rPr>
          <w:rFonts w:eastAsia="Calibri"/>
          <w:sz w:val="24"/>
          <w:szCs w:val="24"/>
        </w:rPr>
        <w:t xml:space="preserve"> </w:t>
      </w:r>
      <w:r w:rsidR="00CF2A24">
        <w:rPr>
          <w:rFonts w:eastAsia="Calibri"/>
          <w:sz w:val="24"/>
          <w:szCs w:val="24"/>
        </w:rPr>
        <w:t xml:space="preserve">plus, Lane 1-6: </w:t>
      </w:r>
      <w:r w:rsidR="00161D93">
        <w:rPr>
          <w:rFonts w:eastAsia="Calibri"/>
          <w:sz w:val="24"/>
          <w:szCs w:val="24"/>
        </w:rPr>
        <w:t>sample</w:t>
      </w:r>
      <w:r w:rsidR="00CF2A24">
        <w:rPr>
          <w:rFonts w:eastAsia="Calibri"/>
          <w:sz w:val="24"/>
          <w:szCs w:val="24"/>
        </w:rPr>
        <w:t>1-</w:t>
      </w:r>
      <w:r w:rsidR="00161D93">
        <w:rPr>
          <w:rFonts w:eastAsia="Calibri"/>
          <w:sz w:val="24"/>
          <w:szCs w:val="24"/>
        </w:rPr>
        <w:t>sample</w:t>
      </w:r>
      <w:r w:rsidR="00CF2A24">
        <w:rPr>
          <w:rFonts w:eastAsia="Calibri"/>
          <w:sz w:val="24"/>
          <w:szCs w:val="24"/>
        </w:rPr>
        <w:t>6 of canine parvovirus.</w:t>
      </w:r>
    </w:p>
    <w:p w:rsidR="00CF2A24" w:rsidRPr="00561279" w:rsidRDefault="00CF2A24" w:rsidP="00CF2A24">
      <w:pPr>
        <w:spacing w:before="100" w:beforeAutospacing="1" w:after="100" w:afterAutospacing="1" w:line="276" w:lineRule="auto"/>
        <w:rPr>
          <w:rFonts w:eastAsia="Calibri"/>
          <w:sz w:val="24"/>
          <w:szCs w:val="24"/>
        </w:rPr>
      </w:pPr>
      <w:r>
        <w:rPr>
          <w:rFonts w:eastAsia="Calibri"/>
          <w:noProof/>
          <w:sz w:val="24"/>
          <w:szCs w:val="24"/>
          <w:lang w:bidi="hi-IN"/>
        </w:rPr>
        <w:drawing>
          <wp:inline distT="0" distB="0" distL="0" distR="0">
            <wp:extent cx="4038600" cy="2543175"/>
            <wp:effectExtent l="19050" t="0" r="0" b="0"/>
            <wp:docPr id="8" name="Picture 8" descr="btv9 v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tv9 vp5"/>
                    <pic:cNvPicPr>
                      <a:picLocks noChangeAspect="1" noChangeArrowheads="1"/>
                    </pic:cNvPicPr>
                  </pic:nvPicPr>
                  <pic:blipFill>
                    <a:blip r:embed="rId13" cstate="print"/>
                    <a:srcRect t="8046" r="586"/>
                    <a:stretch>
                      <a:fillRect/>
                    </a:stretch>
                  </pic:blipFill>
                  <pic:spPr bwMode="auto">
                    <a:xfrm>
                      <a:off x="0" y="0"/>
                      <a:ext cx="4038600" cy="2543175"/>
                    </a:xfrm>
                    <a:prstGeom prst="rect">
                      <a:avLst/>
                    </a:prstGeom>
                    <a:noFill/>
                    <a:ln w="9525">
                      <a:noFill/>
                      <a:miter lim="800000"/>
                      <a:headEnd/>
                      <a:tailEnd/>
                    </a:ln>
                  </pic:spPr>
                </pic:pic>
              </a:graphicData>
            </a:graphic>
          </wp:inline>
        </w:drawing>
      </w:r>
    </w:p>
    <w:p w:rsidR="00CF2A24" w:rsidRPr="00F845BD" w:rsidRDefault="00CF2A24" w:rsidP="00CF2A24">
      <w:pPr>
        <w:spacing w:before="100" w:beforeAutospacing="1" w:after="100" w:afterAutospacing="1" w:line="276" w:lineRule="auto"/>
        <w:jc w:val="both"/>
        <w:rPr>
          <w:sz w:val="24"/>
          <w:szCs w:val="24"/>
        </w:rPr>
      </w:pPr>
      <w:r w:rsidRPr="00F845BD">
        <w:rPr>
          <w:sz w:val="24"/>
          <w:szCs w:val="24"/>
        </w:rPr>
        <w:t>Fig.</w:t>
      </w:r>
      <w:r w:rsidR="00E70815">
        <w:rPr>
          <w:sz w:val="24"/>
          <w:szCs w:val="24"/>
        </w:rPr>
        <w:t xml:space="preserve"> </w:t>
      </w:r>
      <w:r w:rsidR="00324040">
        <w:rPr>
          <w:sz w:val="24"/>
          <w:szCs w:val="24"/>
        </w:rPr>
        <w:t>8</w:t>
      </w:r>
      <w:r w:rsidRPr="00F845BD">
        <w:rPr>
          <w:sz w:val="24"/>
          <w:szCs w:val="24"/>
        </w:rPr>
        <w:t xml:space="preserve"> Vp5 gene based phylogenetic analysis of </w:t>
      </w:r>
      <w:r>
        <w:rPr>
          <w:sz w:val="24"/>
          <w:szCs w:val="24"/>
        </w:rPr>
        <w:t>Indian isolate of BTV9</w:t>
      </w:r>
      <w:r w:rsidRPr="00F845BD">
        <w:rPr>
          <w:sz w:val="24"/>
          <w:szCs w:val="24"/>
        </w:rPr>
        <w:t xml:space="preserve"> along w</w:t>
      </w:r>
      <w:r>
        <w:rPr>
          <w:sz w:val="24"/>
          <w:szCs w:val="24"/>
        </w:rPr>
        <w:t>ith other global isolates</w:t>
      </w:r>
      <w:r w:rsidRPr="00F845BD">
        <w:rPr>
          <w:sz w:val="24"/>
          <w:szCs w:val="24"/>
        </w:rPr>
        <w:t xml:space="preserve">. </w:t>
      </w:r>
    </w:p>
    <w:p w:rsidR="00CF2A24" w:rsidRPr="00F845BD" w:rsidRDefault="00CF2A24" w:rsidP="00CF2A24">
      <w:pPr>
        <w:spacing w:before="100" w:beforeAutospacing="1" w:after="100" w:afterAutospacing="1" w:line="276" w:lineRule="auto"/>
        <w:rPr>
          <w:sz w:val="24"/>
          <w:szCs w:val="24"/>
        </w:rPr>
      </w:pPr>
      <w:r>
        <w:rPr>
          <w:noProof/>
          <w:sz w:val="24"/>
          <w:szCs w:val="24"/>
          <w:lang w:bidi="hi-IN"/>
        </w:rPr>
        <w:drawing>
          <wp:inline distT="0" distB="0" distL="0" distR="0">
            <wp:extent cx="1995707" cy="2038350"/>
            <wp:effectExtent l="19050" t="0" r="4543" b="0"/>
            <wp:docPr id="9" name="Picture 9" descr="Rot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ta PAGE"/>
                    <pic:cNvPicPr>
                      <a:picLocks noChangeAspect="1" noChangeArrowheads="1"/>
                    </pic:cNvPicPr>
                  </pic:nvPicPr>
                  <pic:blipFill>
                    <a:blip r:embed="rId14" cstate="print"/>
                    <a:srcRect/>
                    <a:stretch>
                      <a:fillRect/>
                    </a:stretch>
                  </pic:blipFill>
                  <pic:spPr bwMode="auto">
                    <a:xfrm>
                      <a:off x="0" y="0"/>
                      <a:ext cx="1995707" cy="2038350"/>
                    </a:xfrm>
                    <a:prstGeom prst="rect">
                      <a:avLst/>
                    </a:prstGeom>
                    <a:noFill/>
                    <a:ln w="9525">
                      <a:noFill/>
                      <a:miter lim="800000"/>
                      <a:headEnd/>
                      <a:tailEnd/>
                    </a:ln>
                  </pic:spPr>
                </pic:pic>
              </a:graphicData>
            </a:graphic>
          </wp:inline>
        </w:drawing>
      </w:r>
    </w:p>
    <w:p w:rsidR="00CF2A24" w:rsidRPr="0000296B" w:rsidRDefault="00C5787F" w:rsidP="00CF2A24">
      <w:pPr>
        <w:spacing w:before="100" w:beforeAutospacing="1" w:after="100" w:afterAutospacing="1" w:line="276" w:lineRule="auto"/>
        <w:jc w:val="both"/>
        <w:rPr>
          <w:sz w:val="24"/>
          <w:szCs w:val="24"/>
        </w:rPr>
      </w:pPr>
      <w:r>
        <w:rPr>
          <w:sz w:val="24"/>
          <w:szCs w:val="24"/>
        </w:rPr>
        <w:t>Fig</w:t>
      </w:r>
      <w:r w:rsidR="00E70815">
        <w:rPr>
          <w:sz w:val="24"/>
          <w:szCs w:val="24"/>
        </w:rPr>
        <w:t xml:space="preserve">. </w:t>
      </w:r>
      <w:r>
        <w:rPr>
          <w:sz w:val="24"/>
          <w:szCs w:val="24"/>
        </w:rPr>
        <w:t>9</w:t>
      </w:r>
      <w:r w:rsidR="00CF2A24" w:rsidRPr="0000296B">
        <w:rPr>
          <w:sz w:val="24"/>
          <w:szCs w:val="24"/>
        </w:rPr>
        <w:t xml:space="preserve"> </w:t>
      </w:r>
      <w:r w:rsidR="00CF2A24" w:rsidRPr="0000296B">
        <w:rPr>
          <w:color w:val="231F20"/>
          <w:sz w:val="24"/>
          <w:szCs w:val="24"/>
        </w:rPr>
        <w:t xml:space="preserve">Electrophoretic migration pattern of human rotavirus isolates. Lane 1-3: Short </w:t>
      </w:r>
      <w:proofErr w:type="spellStart"/>
      <w:r w:rsidR="00CF2A24" w:rsidRPr="0000296B">
        <w:rPr>
          <w:color w:val="231F20"/>
          <w:sz w:val="24"/>
          <w:szCs w:val="24"/>
        </w:rPr>
        <w:t>electropherotype</w:t>
      </w:r>
      <w:proofErr w:type="spellEnd"/>
      <w:r w:rsidR="00CF2A24" w:rsidRPr="0000296B">
        <w:rPr>
          <w:color w:val="231F20"/>
          <w:sz w:val="24"/>
          <w:szCs w:val="24"/>
        </w:rPr>
        <w:t xml:space="preserve">, Lane 4-7: Long </w:t>
      </w:r>
      <w:proofErr w:type="spellStart"/>
      <w:r w:rsidR="00CF2A24" w:rsidRPr="0000296B">
        <w:rPr>
          <w:color w:val="231F20"/>
          <w:sz w:val="24"/>
          <w:szCs w:val="24"/>
        </w:rPr>
        <w:t>electropherotype</w:t>
      </w:r>
      <w:proofErr w:type="spellEnd"/>
      <w:r w:rsidR="00CF2A24" w:rsidRPr="0000296B">
        <w:rPr>
          <w:color w:val="231F20"/>
          <w:sz w:val="24"/>
          <w:szCs w:val="24"/>
        </w:rPr>
        <w:t>. The numbers on the right side indicate 1-11 RNA segments.</w:t>
      </w:r>
    </w:p>
    <w:p w:rsidR="00CF2A24" w:rsidRPr="00561279" w:rsidRDefault="00CF2A24" w:rsidP="00CF2A24">
      <w:pPr>
        <w:spacing w:before="100" w:beforeAutospacing="1" w:after="100" w:afterAutospacing="1" w:line="276" w:lineRule="auto"/>
        <w:rPr>
          <w:sz w:val="24"/>
          <w:szCs w:val="24"/>
        </w:rPr>
      </w:pPr>
      <w:r>
        <w:rPr>
          <w:noProof/>
          <w:sz w:val="24"/>
          <w:szCs w:val="24"/>
          <w:lang w:bidi="hi-IN"/>
        </w:rPr>
        <w:lastRenderedPageBreak/>
        <w:drawing>
          <wp:inline distT="0" distB="0" distL="0" distR="0">
            <wp:extent cx="3015472" cy="2238375"/>
            <wp:effectExtent l="0" t="0" r="0" b="0"/>
            <wp:docPr id="10" name="Picture 10" descr="p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 11"/>
                    <pic:cNvPicPr>
                      <a:picLocks noChangeAspect="1" noChangeArrowheads="1"/>
                    </pic:cNvPicPr>
                  </pic:nvPicPr>
                  <pic:blipFill>
                    <a:blip r:embed="rId15" cstate="print"/>
                    <a:srcRect/>
                    <a:stretch>
                      <a:fillRect/>
                    </a:stretch>
                  </pic:blipFill>
                  <pic:spPr bwMode="auto">
                    <a:xfrm>
                      <a:off x="0" y="0"/>
                      <a:ext cx="3018137" cy="2240353"/>
                    </a:xfrm>
                    <a:prstGeom prst="rect">
                      <a:avLst/>
                    </a:prstGeom>
                    <a:noFill/>
                    <a:ln w="9525">
                      <a:noFill/>
                      <a:miter lim="800000"/>
                      <a:headEnd/>
                      <a:tailEnd/>
                    </a:ln>
                  </pic:spPr>
                </pic:pic>
              </a:graphicData>
            </a:graphic>
          </wp:inline>
        </w:drawing>
      </w:r>
    </w:p>
    <w:p w:rsidR="00CF2A24" w:rsidRPr="00561279" w:rsidRDefault="00CF2A24" w:rsidP="00CF2A24">
      <w:pPr>
        <w:spacing w:before="100" w:beforeAutospacing="1" w:after="100" w:afterAutospacing="1" w:line="276" w:lineRule="auto"/>
        <w:jc w:val="both"/>
        <w:rPr>
          <w:sz w:val="24"/>
          <w:szCs w:val="24"/>
        </w:rPr>
      </w:pPr>
      <w:r w:rsidRPr="00561279">
        <w:rPr>
          <w:sz w:val="24"/>
          <w:szCs w:val="24"/>
        </w:rPr>
        <w:t>Fig</w:t>
      </w:r>
      <w:r w:rsidR="00E70815">
        <w:rPr>
          <w:sz w:val="24"/>
          <w:szCs w:val="24"/>
        </w:rPr>
        <w:t xml:space="preserve">. </w:t>
      </w:r>
      <w:r w:rsidRPr="00561279">
        <w:rPr>
          <w:sz w:val="24"/>
          <w:szCs w:val="24"/>
        </w:rPr>
        <w:t>1</w:t>
      </w:r>
      <w:r w:rsidR="00C5787F">
        <w:rPr>
          <w:sz w:val="24"/>
          <w:szCs w:val="24"/>
        </w:rPr>
        <w:t>0</w:t>
      </w:r>
      <w:r w:rsidR="000C605D">
        <w:rPr>
          <w:sz w:val="24"/>
          <w:szCs w:val="24"/>
        </w:rPr>
        <w:t xml:space="preserve"> </w:t>
      </w:r>
      <w:r w:rsidR="00DD31C0" w:rsidRPr="00DD31C0">
        <w:rPr>
          <w:sz w:val="24"/>
          <w:szCs w:val="24"/>
        </w:rPr>
        <w:t>SDS-PAGE for recombinant protein expression</w:t>
      </w:r>
      <w:r w:rsidR="00527C4C">
        <w:rPr>
          <w:sz w:val="24"/>
          <w:szCs w:val="24"/>
        </w:rPr>
        <w:t>.</w:t>
      </w:r>
    </w:p>
    <w:p w:rsidR="00CF2A24" w:rsidRPr="00561279" w:rsidRDefault="00633A08" w:rsidP="00CF2A24">
      <w:pPr>
        <w:spacing w:before="100" w:beforeAutospacing="1" w:after="100" w:afterAutospacing="1" w:line="276" w:lineRule="auto"/>
        <w:rPr>
          <w:sz w:val="24"/>
          <w:szCs w:val="24"/>
        </w:rPr>
      </w:pPr>
      <w:r>
        <w:rPr>
          <w:noProof/>
          <w:sz w:val="24"/>
          <w:szCs w:val="24"/>
          <w:lang w:bidi="hi-IN"/>
        </w:rPr>
        <w:drawing>
          <wp:inline distT="0" distB="0" distL="0" distR="0">
            <wp:extent cx="2853122" cy="193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9522" cy="1937912"/>
                    </a:xfrm>
                    <a:prstGeom prst="rect">
                      <a:avLst/>
                    </a:prstGeom>
                  </pic:spPr>
                </pic:pic>
              </a:graphicData>
            </a:graphic>
          </wp:inline>
        </w:drawing>
      </w:r>
    </w:p>
    <w:p w:rsidR="00CF2A24" w:rsidRPr="00561279" w:rsidRDefault="00CF2A24" w:rsidP="00633A08">
      <w:pPr>
        <w:spacing w:before="100" w:beforeAutospacing="1" w:after="100" w:afterAutospacing="1" w:line="276" w:lineRule="auto"/>
        <w:jc w:val="both"/>
        <w:rPr>
          <w:sz w:val="24"/>
          <w:szCs w:val="24"/>
        </w:rPr>
      </w:pPr>
      <w:r w:rsidRPr="00561279">
        <w:rPr>
          <w:bCs/>
          <w:sz w:val="24"/>
          <w:szCs w:val="24"/>
        </w:rPr>
        <w:t>Fig.1</w:t>
      </w:r>
      <w:r w:rsidR="00D97D17">
        <w:rPr>
          <w:bCs/>
          <w:sz w:val="24"/>
          <w:szCs w:val="24"/>
        </w:rPr>
        <w:t>1</w:t>
      </w:r>
      <w:r w:rsidRPr="00561279">
        <w:rPr>
          <w:bCs/>
          <w:sz w:val="24"/>
          <w:szCs w:val="24"/>
        </w:rPr>
        <w:t xml:space="preserve"> </w:t>
      </w:r>
      <w:r w:rsidR="00633A08" w:rsidRPr="00633A08">
        <w:rPr>
          <w:bCs/>
          <w:sz w:val="24"/>
          <w:szCs w:val="24"/>
        </w:rPr>
        <w:t>Real-Time RT-PCR threshold curves and limit of</w:t>
      </w:r>
      <w:r w:rsidR="00633A08">
        <w:rPr>
          <w:bCs/>
          <w:sz w:val="24"/>
          <w:szCs w:val="24"/>
        </w:rPr>
        <w:t xml:space="preserve"> </w:t>
      </w:r>
      <w:r w:rsidR="00CC5C0A">
        <w:rPr>
          <w:bCs/>
          <w:sz w:val="24"/>
          <w:szCs w:val="24"/>
        </w:rPr>
        <w:t>BTV21 isolate</w:t>
      </w:r>
      <w:r w:rsidR="006F06B7">
        <w:rPr>
          <w:bCs/>
          <w:sz w:val="24"/>
          <w:szCs w:val="24"/>
        </w:rPr>
        <w:t xml:space="preserve"> using </w:t>
      </w:r>
      <w:proofErr w:type="spellStart"/>
      <w:r w:rsidR="006F06B7">
        <w:rPr>
          <w:bCs/>
          <w:sz w:val="24"/>
          <w:szCs w:val="24"/>
        </w:rPr>
        <w:t>TaqMan</w:t>
      </w:r>
      <w:proofErr w:type="spellEnd"/>
      <w:r w:rsidR="006F06B7">
        <w:rPr>
          <w:bCs/>
          <w:sz w:val="24"/>
          <w:szCs w:val="24"/>
        </w:rPr>
        <w:t xml:space="preserve"> probe</w:t>
      </w:r>
      <w:r w:rsidR="00633A08" w:rsidRPr="00633A08">
        <w:rPr>
          <w:bCs/>
          <w:sz w:val="24"/>
          <w:szCs w:val="24"/>
        </w:rPr>
        <w:t xml:space="preserve"> in 10 fold </w:t>
      </w:r>
      <w:r w:rsidR="00FA74BB" w:rsidRPr="00633A08">
        <w:rPr>
          <w:bCs/>
          <w:sz w:val="24"/>
          <w:szCs w:val="24"/>
        </w:rPr>
        <w:t>dilutions</w:t>
      </w:r>
      <w:r w:rsidR="006F06B7">
        <w:rPr>
          <w:bCs/>
          <w:sz w:val="24"/>
          <w:szCs w:val="24"/>
        </w:rPr>
        <w:t>.</w:t>
      </w:r>
      <w:r w:rsidR="00633A08" w:rsidRPr="00633A08">
        <w:rPr>
          <w:bCs/>
          <w:sz w:val="24"/>
          <w:szCs w:val="24"/>
        </w:rPr>
        <w:t xml:space="preserve"> Label: 1-70pg; 2-7.0pg; 3-0.7pg; 4-0.07pg; 5-7.0 </w:t>
      </w:r>
      <w:proofErr w:type="spellStart"/>
      <w:r w:rsidR="00633A08" w:rsidRPr="00633A08">
        <w:rPr>
          <w:bCs/>
          <w:sz w:val="24"/>
          <w:szCs w:val="24"/>
        </w:rPr>
        <w:t>pg</w:t>
      </w:r>
      <w:proofErr w:type="spellEnd"/>
      <w:r w:rsidR="00633A08" w:rsidRPr="00633A08">
        <w:rPr>
          <w:bCs/>
          <w:sz w:val="24"/>
          <w:szCs w:val="24"/>
        </w:rPr>
        <w:t xml:space="preserve">; 6-0.7fg; 7-0.07fg and 8-NTC. </w:t>
      </w:r>
    </w:p>
    <w:p w:rsidR="00CF2A24" w:rsidRPr="00561279" w:rsidRDefault="00CF2A24" w:rsidP="00CF2A24">
      <w:pPr>
        <w:spacing w:before="100" w:beforeAutospacing="1" w:after="100" w:afterAutospacing="1" w:line="276" w:lineRule="auto"/>
        <w:ind w:left="426" w:hanging="426"/>
        <w:rPr>
          <w:sz w:val="24"/>
          <w:szCs w:val="24"/>
        </w:rPr>
      </w:pPr>
      <w:r>
        <w:rPr>
          <w:noProof/>
          <w:sz w:val="24"/>
          <w:szCs w:val="24"/>
          <w:lang w:bidi="hi-IN"/>
        </w:rPr>
        <w:drawing>
          <wp:inline distT="0" distB="0" distL="0" distR="0">
            <wp:extent cx="1875788" cy="1971675"/>
            <wp:effectExtent l="0" t="0" r="0" b="0"/>
            <wp:docPr id="12" name="Picture 12" descr="p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 13"/>
                    <pic:cNvPicPr>
                      <a:picLocks noChangeAspect="1" noChangeArrowheads="1"/>
                    </pic:cNvPicPr>
                  </pic:nvPicPr>
                  <pic:blipFill>
                    <a:blip r:embed="rId17" cstate="print"/>
                    <a:srcRect/>
                    <a:stretch>
                      <a:fillRect/>
                    </a:stretch>
                  </pic:blipFill>
                  <pic:spPr bwMode="auto">
                    <a:xfrm>
                      <a:off x="0" y="0"/>
                      <a:ext cx="1876272" cy="1972183"/>
                    </a:xfrm>
                    <a:prstGeom prst="rect">
                      <a:avLst/>
                    </a:prstGeom>
                    <a:noFill/>
                    <a:ln w="9525">
                      <a:noFill/>
                      <a:miter lim="800000"/>
                      <a:headEnd/>
                      <a:tailEnd/>
                    </a:ln>
                  </pic:spPr>
                </pic:pic>
              </a:graphicData>
            </a:graphic>
          </wp:inline>
        </w:drawing>
      </w:r>
    </w:p>
    <w:p w:rsidR="00F47FBB" w:rsidRPr="008B582A" w:rsidRDefault="00CF2A24" w:rsidP="008B582A">
      <w:pPr>
        <w:spacing w:before="100" w:beforeAutospacing="1" w:after="100" w:afterAutospacing="1" w:line="276" w:lineRule="auto"/>
        <w:ind w:left="426" w:hanging="426"/>
        <w:jc w:val="both"/>
        <w:rPr>
          <w:sz w:val="24"/>
          <w:szCs w:val="24"/>
        </w:rPr>
      </w:pPr>
      <w:r w:rsidRPr="00561279">
        <w:rPr>
          <w:sz w:val="24"/>
          <w:szCs w:val="24"/>
        </w:rPr>
        <w:t>Fig. 1</w:t>
      </w:r>
      <w:r w:rsidR="00D97D17">
        <w:rPr>
          <w:sz w:val="24"/>
          <w:szCs w:val="24"/>
        </w:rPr>
        <w:t>2</w:t>
      </w:r>
      <w:r w:rsidRPr="00561279">
        <w:rPr>
          <w:sz w:val="24"/>
          <w:szCs w:val="24"/>
        </w:rPr>
        <w:t xml:space="preserve"> Restriction profile of 2.2 kb PCR product VP2 gene with </w:t>
      </w:r>
      <w:r w:rsidRPr="00561279">
        <w:rPr>
          <w:i/>
          <w:sz w:val="24"/>
          <w:szCs w:val="24"/>
        </w:rPr>
        <w:t>Rsa</w:t>
      </w:r>
      <w:r w:rsidRPr="00561279">
        <w:rPr>
          <w:sz w:val="24"/>
          <w:szCs w:val="24"/>
        </w:rPr>
        <w:t xml:space="preserve">1. Lane M: 1kb marker (MBI </w:t>
      </w:r>
      <w:proofErr w:type="spellStart"/>
      <w:r w:rsidRPr="00561279">
        <w:rPr>
          <w:sz w:val="24"/>
          <w:szCs w:val="24"/>
        </w:rPr>
        <w:t>Fermentas</w:t>
      </w:r>
      <w:proofErr w:type="spellEnd"/>
      <w:r w:rsidRPr="00561279">
        <w:rPr>
          <w:sz w:val="24"/>
          <w:szCs w:val="24"/>
        </w:rPr>
        <w:t>), 1: Uncut CPV 2.2 kb product, 2: R.E. digested pattern 1 of vaccine strain, 3: R.E. digested pattern 2 of field strain</w:t>
      </w:r>
      <w:r w:rsidR="009E22B5">
        <w:rPr>
          <w:sz w:val="24"/>
          <w:szCs w:val="24"/>
        </w:rPr>
        <w:t>.</w:t>
      </w:r>
    </w:p>
    <w:sectPr w:rsidR="00F47FBB" w:rsidRPr="008B582A" w:rsidSect="00CF2A24">
      <w:pgSz w:w="11909" w:h="16834" w:code="9"/>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1"/>
    <w:family w:val="auto"/>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A7A55"/>
    <w:multiLevelType w:val="hybridMultilevel"/>
    <w:tmpl w:val="D3D42C3C"/>
    <w:lvl w:ilvl="0" w:tplc="70BA14F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F2A24"/>
    <w:rsid w:val="0000312A"/>
    <w:rsid w:val="000217B6"/>
    <w:rsid w:val="000254E3"/>
    <w:rsid w:val="00030293"/>
    <w:rsid w:val="000509D7"/>
    <w:rsid w:val="00051BBE"/>
    <w:rsid w:val="0006395E"/>
    <w:rsid w:val="00070BE1"/>
    <w:rsid w:val="00072833"/>
    <w:rsid w:val="00084975"/>
    <w:rsid w:val="000921B5"/>
    <w:rsid w:val="000923A0"/>
    <w:rsid w:val="000B2B30"/>
    <w:rsid w:val="000C605D"/>
    <w:rsid w:val="000E03C8"/>
    <w:rsid w:val="000E1431"/>
    <w:rsid w:val="000E2B90"/>
    <w:rsid w:val="000E6B8F"/>
    <w:rsid w:val="000F08D7"/>
    <w:rsid w:val="001018F4"/>
    <w:rsid w:val="00104671"/>
    <w:rsid w:val="0011244D"/>
    <w:rsid w:val="00117BB9"/>
    <w:rsid w:val="001258C6"/>
    <w:rsid w:val="0013284C"/>
    <w:rsid w:val="001515D7"/>
    <w:rsid w:val="0016109E"/>
    <w:rsid w:val="00161354"/>
    <w:rsid w:val="00161879"/>
    <w:rsid w:val="00161D93"/>
    <w:rsid w:val="00162360"/>
    <w:rsid w:val="001C5B6E"/>
    <w:rsid w:val="001D04D5"/>
    <w:rsid w:val="001D3A4D"/>
    <w:rsid w:val="001D77D5"/>
    <w:rsid w:val="001F0652"/>
    <w:rsid w:val="0020278D"/>
    <w:rsid w:val="00211059"/>
    <w:rsid w:val="00211A21"/>
    <w:rsid w:val="00230A89"/>
    <w:rsid w:val="00232786"/>
    <w:rsid w:val="0023784F"/>
    <w:rsid w:val="00237D5D"/>
    <w:rsid w:val="002535ED"/>
    <w:rsid w:val="00270001"/>
    <w:rsid w:val="002735CC"/>
    <w:rsid w:val="002866C7"/>
    <w:rsid w:val="002A5446"/>
    <w:rsid w:val="002A65BE"/>
    <w:rsid w:val="002B244E"/>
    <w:rsid w:val="002B5CF7"/>
    <w:rsid w:val="002C2956"/>
    <w:rsid w:val="002C5906"/>
    <w:rsid w:val="002E3E50"/>
    <w:rsid w:val="00312110"/>
    <w:rsid w:val="00322EA6"/>
    <w:rsid w:val="00324040"/>
    <w:rsid w:val="00324D23"/>
    <w:rsid w:val="00351996"/>
    <w:rsid w:val="00357BDD"/>
    <w:rsid w:val="0036154A"/>
    <w:rsid w:val="00363C32"/>
    <w:rsid w:val="00364DDA"/>
    <w:rsid w:val="0039338A"/>
    <w:rsid w:val="003A41A3"/>
    <w:rsid w:val="003B05B3"/>
    <w:rsid w:val="003C2B57"/>
    <w:rsid w:val="003C61CA"/>
    <w:rsid w:val="003E4928"/>
    <w:rsid w:val="004069BF"/>
    <w:rsid w:val="004154D7"/>
    <w:rsid w:val="00421B07"/>
    <w:rsid w:val="00441D91"/>
    <w:rsid w:val="00442021"/>
    <w:rsid w:val="00442C2C"/>
    <w:rsid w:val="00451342"/>
    <w:rsid w:val="00451B98"/>
    <w:rsid w:val="00470056"/>
    <w:rsid w:val="0048148A"/>
    <w:rsid w:val="004A7360"/>
    <w:rsid w:val="004B096A"/>
    <w:rsid w:val="004C2725"/>
    <w:rsid w:val="004C6E6A"/>
    <w:rsid w:val="004E705D"/>
    <w:rsid w:val="00506230"/>
    <w:rsid w:val="0052112A"/>
    <w:rsid w:val="00527C4C"/>
    <w:rsid w:val="005441E3"/>
    <w:rsid w:val="005558B8"/>
    <w:rsid w:val="00556C66"/>
    <w:rsid w:val="00557057"/>
    <w:rsid w:val="00574BF8"/>
    <w:rsid w:val="00591961"/>
    <w:rsid w:val="005976BD"/>
    <w:rsid w:val="005A53FB"/>
    <w:rsid w:val="005A55E7"/>
    <w:rsid w:val="005C7604"/>
    <w:rsid w:val="005C7BDD"/>
    <w:rsid w:val="005D14D7"/>
    <w:rsid w:val="005D192E"/>
    <w:rsid w:val="005D4EAE"/>
    <w:rsid w:val="005F5043"/>
    <w:rsid w:val="006020A3"/>
    <w:rsid w:val="00602BB9"/>
    <w:rsid w:val="00607161"/>
    <w:rsid w:val="0062246F"/>
    <w:rsid w:val="006251C9"/>
    <w:rsid w:val="00632995"/>
    <w:rsid w:val="0063306B"/>
    <w:rsid w:val="00633A08"/>
    <w:rsid w:val="006428E5"/>
    <w:rsid w:val="00650074"/>
    <w:rsid w:val="00662941"/>
    <w:rsid w:val="00666617"/>
    <w:rsid w:val="00690E4B"/>
    <w:rsid w:val="006949BD"/>
    <w:rsid w:val="006A5B5B"/>
    <w:rsid w:val="006A659B"/>
    <w:rsid w:val="006A77F3"/>
    <w:rsid w:val="006B0EE0"/>
    <w:rsid w:val="006B347A"/>
    <w:rsid w:val="006D6BAC"/>
    <w:rsid w:val="006E3E8D"/>
    <w:rsid w:val="006E5BDC"/>
    <w:rsid w:val="006E7432"/>
    <w:rsid w:val="006F06B7"/>
    <w:rsid w:val="0070242D"/>
    <w:rsid w:val="00702CE5"/>
    <w:rsid w:val="00730053"/>
    <w:rsid w:val="00735EA5"/>
    <w:rsid w:val="00746E5B"/>
    <w:rsid w:val="0076201E"/>
    <w:rsid w:val="0077178D"/>
    <w:rsid w:val="00782196"/>
    <w:rsid w:val="0079464C"/>
    <w:rsid w:val="00797689"/>
    <w:rsid w:val="007A7097"/>
    <w:rsid w:val="007D4E1A"/>
    <w:rsid w:val="007E5E84"/>
    <w:rsid w:val="00810560"/>
    <w:rsid w:val="00812441"/>
    <w:rsid w:val="00822D99"/>
    <w:rsid w:val="00834A8B"/>
    <w:rsid w:val="00842964"/>
    <w:rsid w:val="00844824"/>
    <w:rsid w:val="00844A87"/>
    <w:rsid w:val="00857A8F"/>
    <w:rsid w:val="008672B7"/>
    <w:rsid w:val="008A55AA"/>
    <w:rsid w:val="008B582A"/>
    <w:rsid w:val="008C2066"/>
    <w:rsid w:val="008C3A76"/>
    <w:rsid w:val="008D7EB9"/>
    <w:rsid w:val="008E346C"/>
    <w:rsid w:val="008F128E"/>
    <w:rsid w:val="00915022"/>
    <w:rsid w:val="0092354B"/>
    <w:rsid w:val="00937549"/>
    <w:rsid w:val="00953790"/>
    <w:rsid w:val="00955481"/>
    <w:rsid w:val="009803F6"/>
    <w:rsid w:val="0098056B"/>
    <w:rsid w:val="009844A2"/>
    <w:rsid w:val="009A5620"/>
    <w:rsid w:val="009B44D1"/>
    <w:rsid w:val="009B5EB7"/>
    <w:rsid w:val="009C140B"/>
    <w:rsid w:val="009D3AFA"/>
    <w:rsid w:val="009D5160"/>
    <w:rsid w:val="009E22B5"/>
    <w:rsid w:val="009E3D80"/>
    <w:rsid w:val="009F44DE"/>
    <w:rsid w:val="00A073DF"/>
    <w:rsid w:val="00A10DC4"/>
    <w:rsid w:val="00A10E83"/>
    <w:rsid w:val="00A136D0"/>
    <w:rsid w:val="00A211AD"/>
    <w:rsid w:val="00A23770"/>
    <w:rsid w:val="00A54A56"/>
    <w:rsid w:val="00A61AFE"/>
    <w:rsid w:val="00A703BB"/>
    <w:rsid w:val="00A77896"/>
    <w:rsid w:val="00AA2D03"/>
    <w:rsid w:val="00AB3A25"/>
    <w:rsid w:val="00AB7F44"/>
    <w:rsid w:val="00AC30CD"/>
    <w:rsid w:val="00AD0520"/>
    <w:rsid w:val="00AE2D73"/>
    <w:rsid w:val="00AF1316"/>
    <w:rsid w:val="00B01D29"/>
    <w:rsid w:val="00B1121D"/>
    <w:rsid w:val="00B114E8"/>
    <w:rsid w:val="00B14343"/>
    <w:rsid w:val="00B14697"/>
    <w:rsid w:val="00B166AB"/>
    <w:rsid w:val="00B232EE"/>
    <w:rsid w:val="00B25EC9"/>
    <w:rsid w:val="00B348BA"/>
    <w:rsid w:val="00B36C53"/>
    <w:rsid w:val="00B37249"/>
    <w:rsid w:val="00B375A1"/>
    <w:rsid w:val="00B41F8D"/>
    <w:rsid w:val="00B46EBD"/>
    <w:rsid w:val="00B53021"/>
    <w:rsid w:val="00B74A20"/>
    <w:rsid w:val="00B82420"/>
    <w:rsid w:val="00B90A0C"/>
    <w:rsid w:val="00BB3051"/>
    <w:rsid w:val="00BB60B5"/>
    <w:rsid w:val="00BC05A7"/>
    <w:rsid w:val="00BC5222"/>
    <w:rsid w:val="00BE449E"/>
    <w:rsid w:val="00BF3AC6"/>
    <w:rsid w:val="00C10F0F"/>
    <w:rsid w:val="00C16341"/>
    <w:rsid w:val="00C2036D"/>
    <w:rsid w:val="00C21510"/>
    <w:rsid w:val="00C24D8B"/>
    <w:rsid w:val="00C33DDE"/>
    <w:rsid w:val="00C37FB2"/>
    <w:rsid w:val="00C543C2"/>
    <w:rsid w:val="00C556A0"/>
    <w:rsid w:val="00C5787F"/>
    <w:rsid w:val="00C81568"/>
    <w:rsid w:val="00C920D9"/>
    <w:rsid w:val="00C94BEB"/>
    <w:rsid w:val="00C97E61"/>
    <w:rsid w:val="00CA3228"/>
    <w:rsid w:val="00CA6240"/>
    <w:rsid w:val="00CC4B7A"/>
    <w:rsid w:val="00CC5C0A"/>
    <w:rsid w:val="00CF2A24"/>
    <w:rsid w:val="00CF7610"/>
    <w:rsid w:val="00D26759"/>
    <w:rsid w:val="00D3012B"/>
    <w:rsid w:val="00D461F0"/>
    <w:rsid w:val="00D81977"/>
    <w:rsid w:val="00D8275D"/>
    <w:rsid w:val="00D84AF3"/>
    <w:rsid w:val="00D85229"/>
    <w:rsid w:val="00D95EA7"/>
    <w:rsid w:val="00D97D17"/>
    <w:rsid w:val="00DB1707"/>
    <w:rsid w:val="00DC338B"/>
    <w:rsid w:val="00DC488E"/>
    <w:rsid w:val="00DD302A"/>
    <w:rsid w:val="00DD31C0"/>
    <w:rsid w:val="00DE3D45"/>
    <w:rsid w:val="00DE3FF4"/>
    <w:rsid w:val="00DF07D7"/>
    <w:rsid w:val="00E20D5B"/>
    <w:rsid w:val="00E466FF"/>
    <w:rsid w:val="00E57A0A"/>
    <w:rsid w:val="00E63B56"/>
    <w:rsid w:val="00E70815"/>
    <w:rsid w:val="00E70BF5"/>
    <w:rsid w:val="00E81349"/>
    <w:rsid w:val="00E82E6F"/>
    <w:rsid w:val="00E85BCB"/>
    <w:rsid w:val="00EA44CF"/>
    <w:rsid w:val="00EC6BAA"/>
    <w:rsid w:val="00EE20CF"/>
    <w:rsid w:val="00F0443F"/>
    <w:rsid w:val="00F067FF"/>
    <w:rsid w:val="00F10CCA"/>
    <w:rsid w:val="00F133EC"/>
    <w:rsid w:val="00F15C9F"/>
    <w:rsid w:val="00F41F88"/>
    <w:rsid w:val="00F54807"/>
    <w:rsid w:val="00F74968"/>
    <w:rsid w:val="00F8643D"/>
    <w:rsid w:val="00FA2D7E"/>
    <w:rsid w:val="00FA74BB"/>
    <w:rsid w:val="00FC2380"/>
    <w:rsid w:val="00FC6873"/>
    <w:rsid w:val="00FD0CE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ind w:left="634"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24"/>
    <w:pPr>
      <w:spacing w:line="240" w:lineRule="auto"/>
      <w:ind w:left="0" w:firstLine="0"/>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CF2A24"/>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CF2A24"/>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CF2A24"/>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CF2A24"/>
    <w:pPr>
      <w:numPr>
        <w:ilvl w:val="3"/>
        <w:numId w:val="1"/>
      </w:numPr>
      <w:spacing w:before="40" w:after="40"/>
      <w:jc w:val="both"/>
      <w:outlineLvl w:val="3"/>
    </w:pPr>
    <w:rPr>
      <w:i/>
      <w:iCs/>
      <w:noProof/>
    </w:rPr>
  </w:style>
  <w:style w:type="paragraph" w:styleId="Heading5">
    <w:name w:val="heading 5"/>
    <w:basedOn w:val="Normal"/>
    <w:next w:val="Normal"/>
    <w:link w:val="Heading5Char"/>
    <w:qFormat/>
    <w:rsid w:val="00CF2A24"/>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2A24"/>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CF2A24"/>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CF2A2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CF2A24"/>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CF2A24"/>
    <w:rPr>
      <w:rFonts w:ascii="Times New Roman" w:eastAsia="SimSun" w:hAnsi="Times New Roman" w:cs="Times New Roman"/>
      <w:smallCaps/>
      <w:noProof/>
      <w:sz w:val="20"/>
      <w:szCs w:val="20"/>
    </w:rPr>
  </w:style>
  <w:style w:type="paragraph" w:styleId="BodyText">
    <w:name w:val="Body Text"/>
    <w:basedOn w:val="Normal"/>
    <w:link w:val="BodyTextChar"/>
    <w:rsid w:val="00CF2A24"/>
    <w:pPr>
      <w:spacing w:after="120" w:line="228" w:lineRule="auto"/>
      <w:ind w:firstLine="288"/>
      <w:jc w:val="both"/>
    </w:pPr>
    <w:rPr>
      <w:spacing w:val="-1"/>
    </w:rPr>
  </w:style>
  <w:style w:type="character" w:customStyle="1" w:styleId="BodyTextChar">
    <w:name w:val="Body Text Char"/>
    <w:basedOn w:val="DefaultParagraphFont"/>
    <w:link w:val="BodyText"/>
    <w:rsid w:val="00CF2A24"/>
    <w:rPr>
      <w:rFonts w:ascii="Times New Roman" w:eastAsia="SimSun" w:hAnsi="Times New Roman" w:cs="Times New Roman"/>
      <w:spacing w:val="-1"/>
      <w:sz w:val="20"/>
      <w:szCs w:val="20"/>
    </w:rPr>
  </w:style>
  <w:style w:type="paragraph" w:customStyle="1" w:styleId="references">
    <w:name w:val="references"/>
    <w:rsid w:val="00CF2A24"/>
    <w:pPr>
      <w:numPr>
        <w:numId w:val="2"/>
      </w:numPr>
      <w:spacing w:after="50" w:line="180" w:lineRule="exact"/>
      <w:jc w:val="both"/>
    </w:pPr>
    <w:rPr>
      <w:rFonts w:ascii="Times New Roman" w:eastAsia="MS Mincho" w:hAnsi="Times New Roman" w:cs="Times New Roman"/>
      <w:noProof/>
      <w:sz w:val="16"/>
      <w:szCs w:val="16"/>
    </w:rPr>
  </w:style>
  <w:style w:type="character" w:styleId="Emphasis">
    <w:name w:val="Emphasis"/>
    <w:uiPriority w:val="20"/>
    <w:qFormat/>
    <w:rsid w:val="00CF2A24"/>
    <w:rPr>
      <w:i/>
      <w:iCs/>
    </w:rPr>
  </w:style>
  <w:style w:type="character" w:customStyle="1" w:styleId="citation">
    <w:name w:val="citation"/>
    <w:basedOn w:val="DefaultParagraphFont"/>
    <w:rsid w:val="00CF2A24"/>
  </w:style>
  <w:style w:type="paragraph" w:styleId="NormalWeb">
    <w:name w:val="Normal (Web)"/>
    <w:basedOn w:val="Normal"/>
    <w:uiPriority w:val="99"/>
    <w:unhideWhenUsed/>
    <w:rsid w:val="00CF2A24"/>
    <w:pPr>
      <w:spacing w:before="100" w:beforeAutospacing="1" w:after="100" w:afterAutospacing="1"/>
      <w:jc w:val="left"/>
    </w:pPr>
    <w:rPr>
      <w:rFonts w:eastAsia="Times New Roman"/>
      <w:sz w:val="24"/>
      <w:szCs w:val="24"/>
    </w:rPr>
  </w:style>
  <w:style w:type="paragraph" w:styleId="ListParagraph">
    <w:name w:val="List Paragraph"/>
    <w:basedOn w:val="Normal"/>
    <w:uiPriority w:val="34"/>
    <w:qFormat/>
    <w:rsid w:val="00CF2A24"/>
    <w:pPr>
      <w:spacing w:after="60" w:line="276" w:lineRule="auto"/>
      <w:ind w:left="720" w:firstLine="340"/>
      <w:contextualSpacing/>
      <w:jc w:val="both"/>
    </w:pPr>
    <w:rPr>
      <w:rFonts w:eastAsia="Calibri"/>
      <w:sz w:val="22"/>
      <w:szCs w:val="22"/>
      <w:lang w:val="en-IN"/>
    </w:rPr>
  </w:style>
  <w:style w:type="character" w:styleId="LineNumber">
    <w:name w:val="line number"/>
    <w:basedOn w:val="DefaultParagraphFont"/>
    <w:uiPriority w:val="99"/>
    <w:semiHidden/>
    <w:unhideWhenUsed/>
    <w:rsid w:val="00CF2A24"/>
  </w:style>
  <w:style w:type="paragraph" w:styleId="BalloonText">
    <w:name w:val="Balloon Text"/>
    <w:basedOn w:val="Normal"/>
    <w:link w:val="BalloonTextChar"/>
    <w:uiPriority w:val="99"/>
    <w:semiHidden/>
    <w:unhideWhenUsed/>
    <w:rsid w:val="00CF2A24"/>
    <w:rPr>
      <w:rFonts w:ascii="Tahoma" w:hAnsi="Tahoma" w:cs="Tahoma"/>
      <w:sz w:val="16"/>
      <w:szCs w:val="16"/>
    </w:rPr>
  </w:style>
  <w:style w:type="character" w:customStyle="1" w:styleId="BalloonTextChar">
    <w:name w:val="Balloon Text Char"/>
    <w:basedOn w:val="DefaultParagraphFont"/>
    <w:link w:val="BalloonText"/>
    <w:uiPriority w:val="99"/>
    <w:semiHidden/>
    <w:rsid w:val="00CF2A24"/>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tif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16</Pages>
  <Words>4911</Words>
  <Characters>27995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 Ranjan</cp:lastModifiedBy>
  <cp:revision>554</cp:revision>
  <dcterms:created xsi:type="dcterms:W3CDTF">2014-03-06T10:54:00Z</dcterms:created>
  <dcterms:modified xsi:type="dcterms:W3CDTF">2014-03-09T20:30:00Z</dcterms:modified>
</cp:coreProperties>
</file>