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F5F" w:rsidRDefault="005F7F5F" w:rsidP="00FE5D47">
      <w:pPr>
        <w:spacing w:line="240" w:lineRule="auto"/>
        <w:rPr>
          <w:sz w:val="24"/>
          <w:szCs w:val="24"/>
        </w:rPr>
      </w:pPr>
      <w:r>
        <w:rPr>
          <w:sz w:val="24"/>
          <w:szCs w:val="24"/>
        </w:rPr>
        <w:t>H. Bruce Rinker, “Community and an Ethos of Science”</w:t>
      </w:r>
    </w:p>
    <w:p w:rsidR="005F7F5F" w:rsidRDefault="005F7F5F" w:rsidP="00FE5D47">
      <w:pPr>
        <w:spacing w:line="240" w:lineRule="auto"/>
        <w:rPr>
          <w:sz w:val="24"/>
          <w:szCs w:val="24"/>
        </w:rPr>
      </w:pPr>
      <w:r>
        <w:rPr>
          <w:sz w:val="24"/>
          <w:szCs w:val="24"/>
        </w:rPr>
        <w:t>Author’s Response to Reviewers</w:t>
      </w:r>
    </w:p>
    <w:p w:rsidR="005F7F5F" w:rsidRDefault="005F7F5F" w:rsidP="00FE5D47">
      <w:pPr>
        <w:spacing w:line="240" w:lineRule="auto"/>
        <w:rPr>
          <w:sz w:val="24"/>
          <w:szCs w:val="24"/>
        </w:rPr>
      </w:pPr>
    </w:p>
    <w:p w:rsidR="005F7F5F" w:rsidRDefault="005F7F5F" w:rsidP="00FE5D47">
      <w:pPr>
        <w:spacing w:line="240" w:lineRule="auto"/>
        <w:rPr>
          <w:sz w:val="24"/>
          <w:szCs w:val="24"/>
        </w:rPr>
      </w:pPr>
      <w:r>
        <w:rPr>
          <w:sz w:val="24"/>
          <w:szCs w:val="24"/>
        </w:rPr>
        <w:t xml:space="preserve">Author’s response to Eileen </w:t>
      </w:r>
      <w:proofErr w:type="spellStart"/>
      <w:r>
        <w:rPr>
          <w:sz w:val="24"/>
          <w:szCs w:val="24"/>
        </w:rPr>
        <w:t>Crist’s</w:t>
      </w:r>
      <w:proofErr w:type="spellEnd"/>
      <w:r>
        <w:rPr>
          <w:sz w:val="24"/>
          <w:szCs w:val="24"/>
        </w:rPr>
        <w:t xml:space="preserve"> review:</w:t>
      </w:r>
    </w:p>
    <w:p w:rsidR="005F7F5F" w:rsidRPr="005F7F5F" w:rsidRDefault="005F7F5F" w:rsidP="00FE5D47">
      <w:pPr>
        <w:pStyle w:val="ListParagraph"/>
        <w:numPr>
          <w:ilvl w:val="0"/>
          <w:numId w:val="4"/>
        </w:numPr>
        <w:spacing w:line="240" w:lineRule="auto"/>
        <w:rPr>
          <w:sz w:val="24"/>
          <w:szCs w:val="24"/>
        </w:rPr>
      </w:pPr>
      <w:r>
        <w:rPr>
          <w:sz w:val="24"/>
          <w:szCs w:val="24"/>
        </w:rPr>
        <w:t xml:space="preserve">Page 6: Agreed. </w:t>
      </w:r>
      <w:r w:rsidRPr="005F7F5F">
        <w:rPr>
          <w:sz w:val="24"/>
          <w:szCs w:val="24"/>
        </w:rPr>
        <w:t xml:space="preserve">I have added this last paragraph to the introduction: </w:t>
      </w:r>
      <w:r>
        <w:rPr>
          <w:sz w:val="24"/>
          <w:szCs w:val="24"/>
        </w:rPr>
        <w:t>“</w:t>
      </w:r>
      <w:r w:rsidRPr="005F7F5F">
        <w:rPr>
          <w:sz w:val="24"/>
          <w:szCs w:val="24"/>
        </w:rPr>
        <w:t xml:space="preserve">That common path, a </w:t>
      </w:r>
      <w:proofErr w:type="spellStart"/>
      <w:r w:rsidRPr="005F7F5F">
        <w:rPr>
          <w:i/>
          <w:sz w:val="24"/>
          <w:szCs w:val="24"/>
        </w:rPr>
        <w:t>philosophia</w:t>
      </w:r>
      <w:proofErr w:type="spellEnd"/>
      <w:r w:rsidRPr="005F7F5F">
        <w:rPr>
          <w:i/>
          <w:sz w:val="24"/>
          <w:szCs w:val="24"/>
        </w:rPr>
        <w:t xml:space="preserve"> prima, </w:t>
      </w:r>
      <w:r w:rsidRPr="005F7F5F">
        <w:rPr>
          <w:sz w:val="24"/>
          <w:szCs w:val="24"/>
        </w:rPr>
        <w:t>for our 21</w:t>
      </w:r>
      <w:r w:rsidRPr="005F7F5F">
        <w:rPr>
          <w:sz w:val="24"/>
          <w:szCs w:val="24"/>
          <w:vertAlign w:val="superscript"/>
        </w:rPr>
        <w:t>st</w:t>
      </w:r>
      <w:r w:rsidRPr="005F7F5F">
        <w:rPr>
          <w:sz w:val="24"/>
          <w:szCs w:val="24"/>
        </w:rPr>
        <w:t>-century calling as stewards of the planet, is a transformative approach called Gaia theory. It is also a reconciling tactic to unify the seeming contrary faces of modern science (viz., common cause and diversity). As stressed by the late American scholar Joseph Campbell, “Myths and dreams come from the same place. They come from the realizations of some kind that have then to find expression in symbolic form. And the only myth that is going to be worth thinking about in the immediate future is one that is talking about the planet ….”</w:t>
      </w:r>
      <w:r>
        <w:rPr>
          <w:rStyle w:val="FootnoteReference"/>
          <w:sz w:val="24"/>
          <w:szCs w:val="24"/>
        </w:rPr>
        <w:footnoteReference w:id="1"/>
      </w:r>
      <w:r w:rsidRPr="005F7F5F">
        <w:rPr>
          <w:sz w:val="24"/>
          <w:szCs w:val="24"/>
        </w:rPr>
        <w:t xml:space="preserve"> I will return to this key point in my argument toward the end of my essay as a way of contextualizing its content. In an organic sense, Gaia theory is a “higher science” (to borrow from the English philosopher and statesman Francis Bacon) that can help us heal a planet wounded by the extravagances and self-interests of an errant humanity.”</w:t>
      </w:r>
      <w:r>
        <w:rPr>
          <w:sz w:val="24"/>
          <w:szCs w:val="24"/>
        </w:rPr>
        <w:t xml:space="preserve"> This addition also addresses Martin Ogle’s good suggestion to add a reference to Joseph Campbell.</w:t>
      </w:r>
    </w:p>
    <w:p w:rsidR="00FE5D47" w:rsidRPr="005F7F5F" w:rsidRDefault="00FE5D47" w:rsidP="00FE5D47">
      <w:pPr>
        <w:spacing w:line="240" w:lineRule="auto"/>
        <w:rPr>
          <w:sz w:val="24"/>
          <w:szCs w:val="24"/>
        </w:rPr>
      </w:pPr>
      <w:r w:rsidRPr="005F7F5F">
        <w:rPr>
          <w:sz w:val="24"/>
          <w:szCs w:val="24"/>
        </w:rPr>
        <w:t>Author’s response to Martin Ogle’s review:</w:t>
      </w:r>
    </w:p>
    <w:p w:rsidR="00FE5D47" w:rsidRPr="005F7F5F" w:rsidRDefault="00FE5D47" w:rsidP="00FE5D47">
      <w:pPr>
        <w:pStyle w:val="ListParagraph"/>
        <w:numPr>
          <w:ilvl w:val="0"/>
          <w:numId w:val="3"/>
        </w:numPr>
        <w:spacing w:line="240" w:lineRule="auto"/>
        <w:rPr>
          <w:sz w:val="24"/>
          <w:szCs w:val="24"/>
        </w:rPr>
      </w:pPr>
      <w:r w:rsidRPr="005F7F5F">
        <w:rPr>
          <w:sz w:val="24"/>
          <w:szCs w:val="24"/>
        </w:rPr>
        <w:t>Page 4: The lead-in discussion about Janus is my creative starting point to grab the attention of the reader. I do not wish to begin with a philosophic point without setting the stage.</w:t>
      </w:r>
    </w:p>
    <w:p w:rsidR="00526F2C" w:rsidRPr="005F7F5F" w:rsidRDefault="00FE5D47" w:rsidP="00FE5D47">
      <w:pPr>
        <w:pStyle w:val="ListParagraph"/>
        <w:numPr>
          <w:ilvl w:val="0"/>
          <w:numId w:val="3"/>
        </w:numPr>
        <w:spacing w:line="240" w:lineRule="auto"/>
        <w:rPr>
          <w:sz w:val="24"/>
          <w:szCs w:val="24"/>
        </w:rPr>
      </w:pPr>
      <w:r w:rsidRPr="005F7F5F">
        <w:rPr>
          <w:sz w:val="24"/>
          <w:szCs w:val="24"/>
        </w:rPr>
        <w:t xml:space="preserve">Page 4: I have decided not to remove </w:t>
      </w:r>
      <w:proofErr w:type="spellStart"/>
      <w:r w:rsidRPr="005F7F5F">
        <w:rPr>
          <w:sz w:val="24"/>
          <w:szCs w:val="24"/>
        </w:rPr>
        <w:t>Bultmann’s</w:t>
      </w:r>
      <w:proofErr w:type="spellEnd"/>
      <w:r w:rsidRPr="005F7F5F">
        <w:rPr>
          <w:sz w:val="24"/>
          <w:szCs w:val="24"/>
        </w:rPr>
        <w:t xml:space="preserve"> quote. The point is about the articulation of seeming opposites, of seeming contradictions. This quote sets the stage for understanding that mythical thinking, the opposite of scientific thinking, is also a legitimate way of knowing.</w:t>
      </w:r>
    </w:p>
    <w:p w:rsidR="00FE5D47" w:rsidRPr="005F7F5F" w:rsidRDefault="00FE5D47" w:rsidP="00FE5D47">
      <w:pPr>
        <w:pStyle w:val="ListParagraph"/>
        <w:numPr>
          <w:ilvl w:val="1"/>
          <w:numId w:val="3"/>
        </w:numPr>
        <w:spacing w:line="240" w:lineRule="auto"/>
        <w:rPr>
          <w:sz w:val="24"/>
          <w:szCs w:val="24"/>
        </w:rPr>
      </w:pPr>
      <w:r w:rsidRPr="005F7F5F">
        <w:rPr>
          <w:sz w:val="24"/>
          <w:szCs w:val="24"/>
        </w:rPr>
        <w:t>However, I have chosen to employ part of Joseph Campbell’s quote later in the introduction, especially to address the recommendation of reviewer Eileen Crist to provide a clearer sense of where my argument is headed.</w:t>
      </w:r>
      <w:r w:rsidR="00D47A19" w:rsidRPr="005F7F5F">
        <w:rPr>
          <w:sz w:val="24"/>
          <w:szCs w:val="24"/>
        </w:rPr>
        <w:t xml:space="preserve"> See page 6.</w:t>
      </w:r>
    </w:p>
    <w:p w:rsidR="00D023AB" w:rsidRPr="005F7F5F" w:rsidRDefault="00D023AB" w:rsidP="00D023AB">
      <w:pPr>
        <w:pStyle w:val="ListParagraph"/>
        <w:numPr>
          <w:ilvl w:val="0"/>
          <w:numId w:val="3"/>
        </w:numPr>
        <w:spacing w:line="240" w:lineRule="auto"/>
        <w:rPr>
          <w:sz w:val="24"/>
          <w:szCs w:val="24"/>
        </w:rPr>
      </w:pPr>
      <w:r w:rsidRPr="005F7F5F">
        <w:rPr>
          <w:sz w:val="24"/>
          <w:szCs w:val="24"/>
        </w:rPr>
        <w:t xml:space="preserve">Page 5: </w:t>
      </w:r>
      <w:r w:rsidR="00C15EA6" w:rsidRPr="005F7F5F">
        <w:rPr>
          <w:sz w:val="24"/>
          <w:szCs w:val="24"/>
        </w:rPr>
        <w:t>Lamarckian thought is not a complete failure. That is, it fails on the biological level, but thrives on the ideological level where memes can change individuals specifically, not just the species generally. That’s an important way to understand the transformative nature of Gaia theory. Thus, I have decided to retain the quote and its associated footnote.</w:t>
      </w:r>
      <w:r w:rsidR="00023004" w:rsidRPr="005F7F5F">
        <w:rPr>
          <w:sz w:val="24"/>
          <w:szCs w:val="24"/>
        </w:rPr>
        <w:t xml:space="preserve"> Lamarckian thought is referenced in other places of the essay.</w:t>
      </w:r>
    </w:p>
    <w:p w:rsidR="00C15EA6" w:rsidRPr="005F7F5F" w:rsidRDefault="00023004" w:rsidP="00D023AB">
      <w:pPr>
        <w:pStyle w:val="ListParagraph"/>
        <w:numPr>
          <w:ilvl w:val="0"/>
          <w:numId w:val="3"/>
        </w:numPr>
        <w:spacing w:line="240" w:lineRule="auto"/>
        <w:rPr>
          <w:sz w:val="24"/>
          <w:szCs w:val="24"/>
        </w:rPr>
      </w:pPr>
      <w:r w:rsidRPr="005F7F5F">
        <w:rPr>
          <w:sz w:val="24"/>
          <w:szCs w:val="24"/>
        </w:rPr>
        <w:t>Page 7: I have addressed the reviewer’s concern about the truths of science (versus the truths of other ways of knowing) by adding a new sentence at the start of my definition of science: “It is a way of knowing based on evidence and rational thinking; other valid ways of knowing, based on different rules and methods, include religious, philosophic, and cultural wisdom.”</w:t>
      </w:r>
    </w:p>
    <w:p w:rsidR="00023004" w:rsidRPr="005F7F5F" w:rsidRDefault="00023004" w:rsidP="00D023AB">
      <w:pPr>
        <w:pStyle w:val="ListParagraph"/>
        <w:numPr>
          <w:ilvl w:val="0"/>
          <w:numId w:val="3"/>
        </w:numPr>
        <w:spacing w:line="240" w:lineRule="auto"/>
        <w:rPr>
          <w:sz w:val="24"/>
          <w:szCs w:val="24"/>
        </w:rPr>
      </w:pPr>
      <w:r w:rsidRPr="005F7F5F">
        <w:rPr>
          <w:sz w:val="24"/>
          <w:szCs w:val="24"/>
        </w:rPr>
        <w:lastRenderedPageBreak/>
        <w:t>Page 9f: To address the reviewer’s concern about a key feature of science as a way of knowing, I’ve added two words: “in science.”</w:t>
      </w:r>
      <w:r w:rsidR="00084B54" w:rsidRPr="005F7F5F">
        <w:rPr>
          <w:sz w:val="24"/>
          <w:szCs w:val="24"/>
        </w:rPr>
        <w:t xml:space="preserve"> Ideas emerging from</w:t>
      </w:r>
      <w:r w:rsidRPr="005F7F5F">
        <w:rPr>
          <w:sz w:val="24"/>
          <w:szCs w:val="24"/>
        </w:rPr>
        <w:t xml:space="preserve"> other ways of knowing </w:t>
      </w:r>
      <w:r w:rsidR="00084B54" w:rsidRPr="005F7F5F">
        <w:rPr>
          <w:sz w:val="24"/>
          <w:szCs w:val="24"/>
        </w:rPr>
        <w:t>are aligned more distinctly to their cultural seedbeds as mentioned on pages 9-10: “But the testing of a scientific theory is an almost completely independent process, a fairly objective verification that is, essentially, culture-free and lacking in most other disciplines.”</w:t>
      </w:r>
    </w:p>
    <w:p w:rsidR="00084B54" w:rsidRPr="005F7F5F" w:rsidRDefault="00084B54" w:rsidP="00D023AB">
      <w:pPr>
        <w:pStyle w:val="ListParagraph"/>
        <w:numPr>
          <w:ilvl w:val="0"/>
          <w:numId w:val="3"/>
        </w:numPr>
        <w:spacing w:line="240" w:lineRule="auto"/>
        <w:rPr>
          <w:sz w:val="24"/>
          <w:szCs w:val="24"/>
        </w:rPr>
      </w:pPr>
      <w:r w:rsidRPr="005F7F5F">
        <w:rPr>
          <w:sz w:val="24"/>
          <w:szCs w:val="24"/>
        </w:rPr>
        <w:t xml:space="preserve">Page 12: I disagree with the reviewer. This is a key point to establish about Darwin’s contribution to modern science. One consistent aspect of my argument is the need for synthesis and reconciliation in the sciences. That’s what Darwin’s theory of evolution by natural selection did. It unified current thought. The others (Newton, Lavoisier, </w:t>
      </w:r>
      <w:proofErr w:type="gramStart"/>
      <w:r w:rsidRPr="005F7F5F">
        <w:rPr>
          <w:sz w:val="24"/>
          <w:szCs w:val="24"/>
        </w:rPr>
        <w:t>Einstein</w:t>
      </w:r>
      <w:proofErr w:type="gramEnd"/>
      <w:r w:rsidRPr="005F7F5F">
        <w:rPr>
          <w:sz w:val="24"/>
          <w:szCs w:val="24"/>
        </w:rPr>
        <w:t xml:space="preserve">) were not </w:t>
      </w:r>
      <w:proofErr w:type="spellStart"/>
      <w:r w:rsidRPr="005F7F5F">
        <w:rPr>
          <w:sz w:val="24"/>
          <w:szCs w:val="24"/>
        </w:rPr>
        <w:t>consilient</w:t>
      </w:r>
      <w:proofErr w:type="spellEnd"/>
      <w:r w:rsidR="005F7F5F" w:rsidRPr="005F7F5F">
        <w:rPr>
          <w:sz w:val="24"/>
          <w:szCs w:val="24"/>
        </w:rPr>
        <w:t xml:space="preserve"> in the same comprehensive fashion</w:t>
      </w:r>
      <w:r w:rsidRPr="005F7F5F">
        <w:rPr>
          <w:sz w:val="24"/>
          <w:szCs w:val="24"/>
        </w:rPr>
        <w:t>. However, I did change a couple of words: “… unlike the significant but less far-reaching achievements ….”</w:t>
      </w:r>
      <w:r w:rsidR="005F7F5F" w:rsidRPr="005F7F5F">
        <w:rPr>
          <w:sz w:val="24"/>
          <w:szCs w:val="24"/>
        </w:rPr>
        <w:t xml:space="preserve"> That subtle change seems to address the reviewer’</w:t>
      </w:r>
      <w:r w:rsidR="005F7F5F">
        <w:rPr>
          <w:sz w:val="24"/>
          <w:szCs w:val="24"/>
        </w:rPr>
        <w:t>s concern about overemphasis.</w:t>
      </w:r>
    </w:p>
    <w:p w:rsidR="005F7F5F" w:rsidRDefault="005F7F5F" w:rsidP="00D023AB">
      <w:pPr>
        <w:pStyle w:val="ListParagraph"/>
        <w:numPr>
          <w:ilvl w:val="0"/>
          <w:numId w:val="3"/>
        </w:numPr>
        <w:spacing w:line="240" w:lineRule="auto"/>
        <w:rPr>
          <w:sz w:val="24"/>
          <w:szCs w:val="24"/>
        </w:rPr>
      </w:pPr>
      <w:r w:rsidRPr="005F7F5F">
        <w:rPr>
          <w:sz w:val="24"/>
          <w:szCs w:val="24"/>
        </w:rPr>
        <w:t xml:space="preserve">Page 14: Agreed. I have added the reviewer’s suggested wording: </w:t>
      </w:r>
      <w:r w:rsidR="0033650B">
        <w:rPr>
          <w:sz w:val="24"/>
          <w:szCs w:val="24"/>
        </w:rPr>
        <w:t>“</w:t>
      </w:r>
      <w:r w:rsidRPr="005F7F5F">
        <w:rPr>
          <w:sz w:val="24"/>
          <w:szCs w:val="24"/>
        </w:rPr>
        <w:t>The classical philosophy of science, presuming an overwhelmingly reductionist stance, must be abandoned.”</w:t>
      </w:r>
    </w:p>
    <w:p w:rsidR="00342945" w:rsidRDefault="00342945" w:rsidP="00D023AB">
      <w:pPr>
        <w:pStyle w:val="ListParagraph"/>
        <w:numPr>
          <w:ilvl w:val="0"/>
          <w:numId w:val="3"/>
        </w:numPr>
        <w:spacing w:line="240" w:lineRule="auto"/>
        <w:rPr>
          <w:sz w:val="24"/>
          <w:szCs w:val="24"/>
        </w:rPr>
      </w:pPr>
      <w:r>
        <w:rPr>
          <w:sz w:val="24"/>
          <w:szCs w:val="24"/>
        </w:rPr>
        <w:t>Page 24: Though some might find Ehrlich and Lovelock’s references to religion or quasi-religion as off-putting, I wish to keep them as</w:t>
      </w:r>
      <w:r w:rsidR="0033650B">
        <w:rPr>
          <w:sz w:val="24"/>
          <w:szCs w:val="24"/>
        </w:rPr>
        <w:t xml:space="preserve"> a sense of</w:t>
      </w:r>
      <w:r>
        <w:rPr>
          <w:sz w:val="24"/>
          <w:szCs w:val="24"/>
        </w:rPr>
        <w:t xml:space="preserve"> my meaning and then step beyond even this elevated sense toward </w:t>
      </w:r>
      <w:proofErr w:type="spellStart"/>
      <w:r>
        <w:rPr>
          <w:sz w:val="24"/>
          <w:szCs w:val="24"/>
        </w:rPr>
        <w:t>consilient</w:t>
      </w:r>
      <w:proofErr w:type="spellEnd"/>
      <w:r>
        <w:rPr>
          <w:sz w:val="24"/>
          <w:szCs w:val="24"/>
        </w:rPr>
        <w:t xml:space="preserve"> valuing to transcend the limitations of science and religion.</w:t>
      </w:r>
    </w:p>
    <w:p w:rsidR="00342945" w:rsidRPr="005F7F5F" w:rsidRDefault="00342945" w:rsidP="00D023AB">
      <w:pPr>
        <w:pStyle w:val="ListParagraph"/>
        <w:numPr>
          <w:ilvl w:val="0"/>
          <w:numId w:val="3"/>
        </w:numPr>
        <w:spacing w:line="240" w:lineRule="auto"/>
        <w:rPr>
          <w:sz w:val="24"/>
          <w:szCs w:val="24"/>
        </w:rPr>
      </w:pPr>
      <w:r>
        <w:rPr>
          <w:sz w:val="24"/>
          <w:szCs w:val="24"/>
        </w:rPr>
        <w:t xml:space="preserve">Page 25: In response to the reviewer’s concern that some thinkers involved with Earth System Science are dissociating this from Gaia theory is irrelevant to my point as mentioned in the last sentence before my quote from the International </w:t>
      </w:r>
      <w:proofErr w:type="spellStart"/>
      <w:r>
        <w:rPr>
          <w:sz w:val="24"/>
          <w:szCs w:val="24"/>
        </w:rPr>
        <w:t>Geosphere-Biosophere</w:t>
      </w:r>
      <w:proofErr w:type="spellEnd"/>
      <w:r>
        <w:rPr>
          <w:sz w:val="24"/>
          <w:szCs w:val="24"/>
        </w:rPr>
        <w:t xml:space="preserve"> </w:t>
      </w:r>
      <w:proofErr w:type="spellStart"/>
      <w:r>
        <w:rPr>
          <w:sz w:val="24"/>
          <w:szCs w:val="24"/>
        </w:rPr>
        <w:t>Program</w:t>
      </w:r>
      <w:r w:rsidR="006138C0">
        <w:rPr>
          <w:sz w:val="24"/>
          <w:szCs w:val="24"/>
        </w:rPr>
        <w:t>me</w:t>
      </w:r>
      <w:proofErr w:type="spellEnd"/>
      <w:r w:rsidR="006138C0">
        <w:rPr>
          <w:sz w:val="24"/>
          <w:szCs w:val="24"/>
        </w:rPr>
        <w:t>. Gaia theory transcends any single field of inquiry.</w:t>
      </w:r>
    </w:p>
    <w:sectPr w:rsidR="00342945" w:rsidRPr="005F7F5F" w:rsidSect="00526F2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B89" w:rsidRDefault="002D2B89" w:rsidP="005F7F5F">
      <w:pPr>
        <w:spacing w:after="0" w:line="240" w:lineRule="auto"/>
      </w:pPr>
      <w:r>
        <w:separator/>
      </w:r>
    </w:p>
  </w:endnote>
  <w:endnote w:type="continuationSeparator" w:id="0">
    <w:p w:rsidR="002D2B89" w:rsidRDefault="002D2B89" w:rsidP="005F7F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B89" w:rsidRDefault="002D2B89" w:rsidP="005F7F5F">
      <w:pPr>
        <w:spacing w:after="0" w:line="240" w:lineRule="auto"/>
      </w:pPr>
      <w:r>
        <w:separator/>
      </w:r>
    </w:p>
  </w:footnote>
  <w:footnote w:type="continuationSeparator" w:id="0">
    <w:p w:rsidR="002D2B89" w:rsidRDefault="002D2B89" w:rsidP="005F7F5F">
      <w:pPr>
        <w:spacing w:after="0" w:line="240" w:lineRule="auto"/>
      </w:pPr>
      <w:r>
        <w:continuationSeparator/>
      </w:r>
    </w:p>
  </w:footnote>
  <w:footnote w:id="1">
    <w:p w:rsidR="005F7F5F" w:rsidRDefault="005F7F5F" w:rsidP="005F7F5F">
      <w:pPr>
        <w:pStyle w:val="FootnoteText"/>
      </w:pPr>
      <w:r>
        <w:rPr>
          <w:rStyle w:val="FootnoteReference"/>
        </w:rPr>
        <w:footnoteRef/>
      </w:r>
      <w:r>
        <w:t xml:space="preserve"> </w:t>
      </w:r>
      <w:proofErr w:type="spellStart"/>
      <w:r>
        <w:t>Josephn</w:t>
      </w:r>
      <w:proofErr w:type="spellEnd"/>
      <w:r>
        <w:t xml:space="preserve"> Campbell, </w:t>
      </w:r>
      <w:proofErr w:type="gramStart"/>
      <w:r w:rsidRPr="009B467B">
        <w:rPr>
          <w:i/>
        </w:rPr>
        <w:t>The</w:t>
      </w:r>
      <w:proofErr w:type="gramEnd"/>
      <w:r w:rsidRPr="009B467B">
        <w:rPr>
          <w:i/>
        </w:rPr>
        <w:t xml:space="preserve"> Power of Myth</w:t>
      </w:r>
      <w:r>
        <w:t xml:space="preserve"> (New York: Anchor Books, 1991), p. 41.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A0C8D"/>
    <w:multiLevelType w:val="hybridMultilevel"/>
    <w:tmpl w:val="E80225D2"/>
    <w:lvl w:ilvl="0" w:tplc="F7AAC04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0653B7"/>
    <w:multiLevelType w:val="hybridMultilevel"/>
    <w:tmpl w:val="1334EF62"/>
    <w:lvl w:ilvl="0" w:tplc="014888A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B75107"/>
    <w:multiLevelType w:val="hybridMultilevel"/>
    <w:tmpl w:val="E2F6AEF8"/>
    <w:lvl w:ilvl="0" w:tplc="7FF08A5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080E38"/>
    <w:multiLevelType w:val="hybridMultilevel"/>
    <w:tmpl w:val="9A4CCB88"/>
    <w:lvl w:ilvl="0" w:tplc="0ADAA6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FE5D47"/>
    <w:rsid w:val="00023004"/>
    <w:rsid w:val="00084B54"/>
    <w:rsid w:val="000B0657"/>
    <w:rsid w:val="002D2B89"/>
    <w:rsid w:val="0033650B"/>
    <w:rsid w:val="00342945"/>
    <w:rsid w:val="00526F2C"/>
    <w:rsid w:val="005F7F5F"/>
    <w:rsid w:val="006138C0"/>
    <w:rsid w:val="00C15EA6"/>
    <w:rsid w:val="00CD749D"/>
    <w:rsid w:val="00D023AB"/>
    <w:rsid w:val="00D47A19"/>
    <w:rsid w:val="00FE5D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F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D47"/>
    <w:pPr>
      <w:ind w:left="720"/>
      <w:contextualSpacing/>
    </w:pPr>
  </w:style>
  <w:style w:type="paragraph" w:styleId="FootnoteText">
    <w:name w:val="footnote text"/>
    <w:basedOn w:val="Normal"/>
    <w:link w:val="FootnoteTextChar"/>
    <w:uiPriority w:val="99"/>
    <w:semiHidden/>
    <w:unhideWhenUsed/>
    <w:rsid w:val="005F7F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7F5F"/>
    <w:rPr>
      <w:sz w:val="20"/>
      <w:szCs w:val="20"/>
    </w:rPr>
  </w:style>
  <w:style w:type="character" w:styleId="FootnoteReference">
    <w:name w:val="footnote reference"/>
    <w:basedOn w:val="DefaultParagraphFont"/>
    <w:uiPriority w:val="99"/>
    <w:semiHidden/>
    <w:unhideWhenUsed/>
    <w:rsid w:val="005F7F5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bruce.rinker</dc:creator>
  <cp:lastModifiedBy>bruce.rinker</cp:lastModifiedBy>
  <cp:revision>3</cp:revision>
  <dcterms:created xsi:type="dcterms:W3CDTF">2014-07-01T14:12:00Z</dcterms:created>
  <dcterms:modified xsi:type="dcterms:W3CDTF">2014-07-01T15:55:00Z</dcterms:modified>
</cp:coreProperties>
</file>