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53" w:rsidRPr="00C32EEA" w:rsidRDefault="00BC7A53" w:rsidP="00BC7A53">
      <w:pPr>
        <w:spacing w:after="0" w:line="480" w:lineRule="auto"/>
        <w:rPr>
          <w:szCs w:val="24"/>
        </w:rPr>
      </w:pPr>
    </w:p>
    <w:p w:rsidR="00BC7A53" w:rsidRPr="00C32EEA" w:rsidRDefault="00BC7A53" w:rsidP="00BC7A53">
      <w:pPr>
        <w:pStyle w:val="CaptionforFig"/>
        <w:spacing w:line="480" w:lineRule="auto"/>
        <w:jc w:val="center"/>
        <w:rPr>
          <w:lang w:val="en-GB"/>
        </w:rPr>
      </w:pPr>
      <w:r w:rsidRPr="00C32EEA">
        <w:rPr>
          <w:lang w:eastAsia="en-AU"/>
        </w:rPr>
        <w:drawing>
          <wp:inline distT="0" distB="0" distL="0" distR="0" wp14:anchorId="1696E34D" wp14:editId="359AC7C8">
            <wp:extent cx="4285753" cy="2425148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C7A53" w:rsidRPr="00C32EEA" w:rsidRDefault="00BC7A53" w:rsidP="00BC7A53">
      <w:pPr>
        <w:spacing w:line="480" w:lineRule="auto"/>
        <w:jc w:val="center"/>
        <w:rPr>
          <w:szCs w:val="24"/>
          <w:lang w:val="en-GB"/>
        </w:rPr>
      </w:pPr>
      <w:r>
        <w:rPr>
          <w:szCs w:val="24"/>
          <w:lang w:val="en-GB"/>
        </w:rPr>
        <w:t>Figure 1: Main cotton growing countries in 2012</w:t>
      </w:r>
    </w:p>
    <w:p w:rsidR="00BC7A53" w:rsidRDefault="00BC7A53" w:rsidP="00BC7A53">
      <w:pPr>
        <w:spacing w:line="480" w:lineRule="auto"/>
        <w:jc w:val="center"/>
        <w:rPr>
          <w:szCs w:val="24"/>
          <w:lang w:val="en-GB"/>
        </w:rPr>
      </w:pPr>
      <w:r w:rsidRPr="00C32EEA">
        <w:rPr>
          <w:noProof/>
          <w:szCs w:val="24"/>
          <w:lang w:eastAsia="en-AU"/>
        </w:rPr>
        <w:drawing>
          <wp:inline distT="0" distB="0" distL="0" distR="0" wp14:anchorId="47326206" wp14:editId="72E76B53">
            <wp:extent cx="4285615" cy="225806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C7A53" w:rsidRDefault="00BC7A53" w:rsidP="00BC7A53">
      <w:pPr>
        <w:spacing w:line="480" w:lineRule="auto"/>
        <w:jc w:val="center"/>
        <w:rPr>
          <w:szCs w:val="24"/>
          <w:lang w:val="en-GB"/>
        </w:rPr>
      </w:pPr>
      <w:bookmarkStart w:id="0" w:name="_GoBack"/>
      <w:bookmarkEnd w:id="0"/>
      <w:r>
        <w:rPr>
          <w:szCs w:val="24"/>
          <w:lang w:val="en-GB"/>
        </w:rPr>
        <w:t>Figure 2:</w:t>
      </w:r>
      <w:r w:rsidRPr="00C32EEA">
        <w:rPr>
          <w:szCs w:val="24"/>
          <w:lang w:val="en-GB"/>
        </w:rPr>
        <w:t xml:space="preserve"> C</w:t>
      </w:r>
      <w:r>
        <w:rPr>
          <w:szCs w:val="24"/>
          <w:lang w:val="en-GB"/>
        </w:rPr>
        <w:t>otton import trends in Pakistan</w:t>
      </w:r>
    </w:p>
    <w:p w:rsidR="00BC7A53" w:rsidRPr="00C32EEA" w:rsidRDefault="00BC7A53" w:rsidP="00BC7A53">
      <w:pPr>
        <w:spacing w:line="480" w:lineRule="auto"/>
        <w:jc w:val="center"/>
        <w:rPr>
          <w:szCs w:val="24"/>
          <w:lang w:val="en-GB"/>
        </w:rPr>
      </w:pPr>
      <w:r w:rsidRPr="00C32EEA">
        <w:rPr>
          <w:noProof/>
          <w:szCs w:val="24"/>
          <w:lang w:eastAsia="en-AU"/>
        </w:rPr>
        <w:lastRenderedPageBreak/>
        <w:drawing>
          <wp:inline distT="0" distB="0" distL="0" distR="0" wp14:anchorId="1F34789F" wp14:editId="3B042468">
            <wp:extent cx="4114800" cy="251841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C7A53" w:rsidRPr="00C32EEA" w:rsidRDefault="00BC7A53" w:rsidP="00BC7A53">
      <w:pPr>
        <w:spacing w:line="480" w:lineRule="auto"/>
        <w:jc w:val="center"/>
        <w:rPr>
          <w:szCs w:val="24"/>
          <w:lang w:val="en-GB"/>
        </w:rPr>
      </w:pPr>
      <w:r>
        <w:rPr>
          <w:szCs w:val="24"/>
          <w:lang w:val="en-GB"/>
        </w:rPr>
        <w:t>Figure 3:</w:t>
      </w:r>
      <w:r w:rsidRPr="00C32EEA">
        <w:rPr>
          <w:szCs w:val="24"/>
          <w:lang w:val="en-GB"/>
        </w:rPr>
        <w:t xml:space="preserve"> Cotton export trends in Pakistan</w:t>
      </w:r>
    </w:p>
    <w:p w:rsidR="001D2932" w:rsidRDefault="001D2932"/>
    <w:sectPr w:rsidR="001D2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3A"/>
    <w:rsid w:val="001A11BD"/>
    <w:rsid w:val="001D2932"/>
    <w:rsid w:val="003E4B14"/>
    <w:rsid w:val="00700B46"/>
    <w:rsid w:val="007A3686"/>
    <w:rsid w:val="00901BF0"/>
    <w:rsid w:val="009C523A"/>
    <w:rsid w:val="00AD5565"/>
    <w:rsid w:val="00BC7A53"/>
    <w:rsid w:val="00E2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A53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forFig">
    <w:name w:val="Caption for Fig"/>
    <w:basedOn w:val="Caption"/>
    <w:qFormat/>
    <w:rsid w:val="00BC7A53"/>
    <w:pPr>
      <w:spacing w:before="240" w:after="240"/>
      <w:ind w:left="624" w:hanging="624"/>
    </w:pPr>
    <w:rPr>
      <w:bCs w:val="0"/>
      <w:noProof/>
      <w:color w:val="auto"/>
      <w:sz w:val="24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C7A5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A5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A53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forFig">
    <w:name w:val="Caption for Fig"/>
    <w:basedOn w:val="Caption"/>
    <w:qFormat/>
    <w:rsid w:val="00BC7A53"/>
    <w:pPr>
      <w:spacing w:before="240" w:after="240"/>
      <w:ind w:left="624" w:hanging="624"/>
    </w:pPr>
    <w:rPr>
      <w:bCs w:val="0"/>
      <w:noProof/>
      <w:color w:val="auto"/>
      <w:sz w:val="24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C7A5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A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attom01\PhD\Statistics%20of%20Agriculture\cotton%20production%20and%20are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attom01\PhD\Statistics%20of%20Agriculture\cotton%20production%20and%20are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attom01\PhD\Statistics%20of%20Agriculture\cotton%20production%20and%20are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446522309711285"/>
          <c:y val="8.3612590201681714E-2"/>
          <c:w val="0.79497922134733157"/>
          <c:h val="0.631587755185954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Sheet1!$L$64</c:f>
              <c:strCache>
                <c:ptCount val="1"/>
                <c:pt idx="0">
                  <c:v>Production 000 480 lb. bales</c:v>
                </c:pt>
              </c:strCache>
            </c:strRef>
          </c:tx>
          <c:spPr>
            <a:solidFill>
              <a:srgbClr val="92CB05"/>
            </a:solidFill>
            <a:ln w="19050">
              <a:solidFill>
                <a:srgbClr val="003399"/>
              </a:solidFill>
            </a:ln>
          </c:spPr>
          <c:invertIfNegative val="0"/>
          <c:cat>
            <c:strRef>
              <c:f>Sheet1!$K$65:$K$74</c:f>
              <c:strCache>
                <c:ptCount val="10"/>
                <c:pt idx="0">
                  <c:v>China</c:v>
                </c:pt>
                <c:pt idx="1">
                  <c:v>India</c:v>
                </c:pt>
                <c:pt idx="2">
                  <c:v>USA</c:v>
                </c:pt>
                <c:pt idx="3">
                  <c:v>Pakistan</c:v>
                </c:pt>
                <c:pt idx="4">
                  <c:v>Brazil</c:v>
                </c:pt>
                <c:pt idx="5">
                  <c:v>Uzbekistan</c:v>
                </c:pt>
                <c:pt idx="6">
                  <c:v>Turkey</c:v>
                </c:pt>
                <c:pt idx="7">
                  <c:v>Australia</c:v>
                </c:pt>
                <c:pt idx="8">
                  <c:v>Turkmenistan</c:v>
                </c:pt>
                <c:pt idx="9">
                  <c:v>Argentina</c:v>
                </c:pt>
              </c:strCache>
            </c:strRef>
          </c:cat>
          <c:val>
            <c:numRef>
              <c:f>Sheet1!$L$65:$L$74</c:f>
              <c:numCache>
                <c:formatCode>General</c:formatCode>
                <c:ptCount val="10"/>
                <c:pt idx="0">
                  <c:v>31500</c:v>
                </c:pt>
                <c:pt idx="1">
                  <c:v>25500</c:v>
                </c:pt>
                <c:pt idx="2">
                  <c:v>17447</c:v>
                </c:pt>
                <c:pt idx="3">
                  <c:v>10000</c:v>
                </c:pt>
                <c:pt idx="4">
                  <c:v>6500</c:v>
                </c:pt>
                <c:pt idx="5">
                  <c:v>4300</c:v>
                </c:pt>
                <c:pt idx="6">
                  <c:v>2750</c:v>
                </c:pt>
                <c:pt idx="7">
                  <c:v>4250</c:v>
                </c:pt>
                <c:pt idx="8">
                  <c:v>1500</c:v>
                </c:pt>
                <c:pt idx="9">
                  <c:v>800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529984"/>
        <c:axId val="216941696"/>
      </c:barChart>
      <c:catAx>
        <c:axId val="24552998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16941696"/>
        <c:crosses val="autoZero"/>
        <c:auto val="1"/>
        <c:lblAlgn val="ctr"/>
        <c:lblOffset val="100"/>
        <c:noMultiLvlLbl val="0"/>
      </c:catAx>
      <c:valAx>
        <c:axId val="21694169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AU" sz="11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Production 000 480 lb.</a:t>
                </a:r>
                <a:r>
                  <a:rPr lang="en-AU" sz="12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 bales</a:t>
                </a:r>
                <a:endParaRPr lang="en-AU" sz="1200" b="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7.7766964171756981E-3"/>
              <c:y val="4.8719887074438549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455299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 b="0">
                <a:latin typeface="Times New Roman" pitchFamily="18" charset="0"/>
                <a:cs typeface="Times New Roman" pitchFamily="18" charset="0"/>
              </a:rPr>
              <a:t>Imports</a:t>
            </a:r>
          </a:p>
        </c:rich>
      </c:tx>
      <c:layout>
        <c:manualLayout>
          <c:xMode val="edge"/>
          <c:yMode val="edge"/>
          <c:x val="0.36307554458344948"/>
          <c:y val="0.2006727013454027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2"/>
          <c:order val="0"/>
          <c:tx>
            <c:strRef>
              <c:f>Sheet5!$C$1</c:f>
              <c:strCache>
                <c:ptCount val="1"/>
                <c:pt idx="0">
                  <c:v>Imports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rgbClr val="002060"/>
                </a:solidFill>
              </a:ln>
            </c:spPr>
          </c:marker>
          <c:cat>
            <c:numRef>
              <c:f>Sheet5!$A$2:$A$54</c:f>
              <c:numCache>
                <c:formatCode>General</c:formatCode>
                <c:ptCount val="53"/>
                <c:pt idx="0">
                  <c:v>1960</c:v>
                </c:pt>
                <c:pt idx="1">
                  <c:v>1961</c:v>
                </c:pt>
                <c:pt idx="2">
                  <c:v>1962</c:v>
                </c:pt>
                <c:pt idx="3">
                  <c:v>1963</c:v>
                </c:pt>
                <c:pt idx="4">
                  <c:v>1964</c:v>
                </c:pt>
                <c:pt idx="5">
                  <c:v>1965</c:v>
                </c:pt>
                <c:pt idx="6">
                  <c:v>1966</c:v>
                </c:pt>
                <c:pt idx="7">
                  <c:v>1967</c:v>
                </c:pt>
                <c:pt idx="8">
                  <c:v>1968</c:v>
                </c:pt>
                <c:pt idx="9">
                  <c:v>1969</c:v>
                </c:pt>
                <c:pt idx="10">
                  <c:v>1970</c:v>
                </c:pt>
                <c:pt idx="11">
                  <c:v>1971</c:v>
                </c:pt>
                <c:pt idx="12">
                  <c:v>1972</c:v>
                </c:pt>
                <c:pt idx="13">
                  <c:v>1973</c:v>
                </c:pt>
                <c:pt idx="14">
                  <c:v>1974</c:v>
                </c:pt>
                <c:pt idx="15">
                  <c:v>1975</c:v>
                </c:pt>
                <c:pt idx="16">
                  <c:v>1976</c:v>
                </c:pt>
                <c:pt idx="17">
                  <c:v>1977</c:v>
                </c:pt>
                <c:pt idx="18">
                  <c:v>1978</c:v>
                </c:pt>
                <c:pt idx="19">
                  <c:v>1979</c:v>
                </c:pt>
                <c:pt idx="20">
                  <c:v>1980</c:v>
                </c:pt>
                <c:pt idx="21">
                  <c:v>1981</c:v>
                </c:pt>
                <c:pt idx="22">
                  <c:v>1982</c:v>
                </c:pt>
                <c:pt idx="23">
                  <c:v>1983</c:v>
                </c:pt>
                <c:pt idx="24">
                  <c:v>1984</c:v>
                </c:pt>
                <c:pt idx="25">
                  <c:v>1985</c:v>
                </c:pt>
                <c:pt idx="26">
                  <c:v>1986</c:v>
                </c:pt>
                <c:pt idx="27">
                  <c:v>1987</c:v>
                </c:pt>
                <c:pt idx="28">
                  <c:v>1988</c:v>
                </c:pt>
                <c:pt idx="29">
                  <c:v>1989</c:v>
                </c:pt>
                <c:pt idx="30">
                  <c:v>1990</c:v>
                </c:pt>
                <c:pt idx="31">
                  <c:v>1991</c:v>
                </c:pt>
                <c:pt idx="32">
                  <c:v>1992</c:v>
                </c:pt>
                <c:pt idx="33">
                  <c:v>1993</c:v>
                </c:pt>
                <c:pt idx="34">
                  <c:v>1994</c:v>
                </c:pt>
                <c:pt idx="35">
                  <c:v>1995</c:v>
                </c:pt>
                <c:pt idx="36">
                  <c:v>1996</c:v>
                </c:pt>
                <c:pt idx="37">
                  <c:v>1997</c:v>
                </c:pt>
                <c:pt idx="38">
                  <c:v>1998</c:v>
                </c:pt>
                <c:pt idx="39">
                  <c:v>1999</c:v>
                </c:pt>
                <c:pt idx="40">
                  <c:v>2000</c:v>
                </c:pt>
                <c:pt idx="41">
                  <c:v>2001</c:v>
                </c:pt>
                <c:pt idx="42">
                  <c:v>2002</c:v>
                </c:pt>
                <c:pt idx="43">
                  <c:v>2003</c:v>
                </c:pt>
                <c:pt idx="44">
                  <c:v>2004</c:v>
                </c:pt>
                <c:pt idx="45">
                  <c:v>2005</c:v>
                </c:pt>
                <c:pt idx="46">
                  <c:v>2006</c:v>
                </c:pt>
                <c:pt idx="47">
                  <c:v>2007</c:v>
                </c:pt>
                <c:pt idx="48">
                  <c:v>2008</c:v>
                </c:pt>
                <c:pt idx="49">
                  <c:v>2009</c:v>
                </c:pt>
                <c:pt idx="50">
                  <c:v>2010</c:v>
                </c:pt>
                <c:pt idx="51">
                  <c:v>2011</c:v>
                </c:pt>
                <c:pt idx="52">
                  <c:v>2012</c:v>
                </c:pt>
              </c:numCache>
            </c:numRef>
          </c:cat>
          <c:val>
            <c:numRef>
              <c:f>Sheet5!$C$2:$C$54</c:f>
              <c:numCache>
                <c:formatCode>General</c:formatCode>
                <c:ptCount val="53"/>
                <c:pt idx="0">
                  <c:v>4</c:v>
                </c:pt>
                <c:pt idx="1">
                  <c:v>42</c:v>
                </c:pt>
                <c:pt idx="2">
                  <c:v>9</c:v>
                </c:pt>
                <c:pt idx="3">
                  <c:v>4</c:v>
                </c:pt>
                <c:pt idx="4">
                  <c:v>9</c:v>
                </c:pt>
                <c:pt idx="5">
                  <c:v>7</c:v>
                </c:pt>
                <c:pt idx="6">
                  <c:v>10</c:v>
                </c:pt>
                <c:pt idx="7">
                  <c:v>4</c:v>
                </c:pt>
                <c:pt idx="8">
                  <c:v>4</c:v>
                </c:pt>
                <c:pt idx="9">
                  <c:v>0</c:v>
                </c:pt>
                <c:pt idx="10">
                  <c:v>6</c:v>
                </c:pt>
                <c:pt idx="11">
                  <c:v>7</c:v>
                </c:pt>
                <c:pt idx="12">
                  <c:v>4</c:v>
                </c:pt>
                <c:pt idx="13">
                  <c:v>2</c:v>
                </c:pt>
                <c:pt idx="14">
                  <c:v>1</c:v>
                </c:pt>
                <c:pt idx="15">
                  <c:v>0</c:v>
                </c:pt>
                <c:pt idx="16">
                  <c:v>2</c:v>
                </c:pt>
                <c:pt idx="17">
                  <c:v>1</c:v>
                </c:pt>
                <c:pt idx="18">
                  <c:v>4</c:v>
                </c:pt>
                <c:pt idx="19">
                  <c:v>4</c:v>
                </c:pt>
                <c:pt idx="20">
                  <c:v>5</c:v>
                </c:pt>
                <c:pt idx="21">
                  <c:v>5</c:v>
                </c:pt>
                <c:pt idx="22">
                  <c:v>4</c:v>
                </c:pt>
                <c:pt idx="23">
                  <c:v>240</c:v>
                </c:pt>
                <c:pt idx="24">
                  <c:v>9</c:v>
                </c:pt>
                <c:pt idx="25">
                  <c:v>6</c:v>
                </c:pt>
                <c:pt idx="26">
                  <c:v>3</c:v>
                </c:pt>
                <c:pt idx="27">
                  <c:v>4</c:v>
                </c:pt>
                <c:pt idx="28">
                  <c:v>5</c:v>
                </c:pt>
                <c:pt idx="29">
                  <c:v>17</c:v>
                </c:pt>
                <c:pt idx="30">
                  <c:v>2</c:v>
                </c:pt>
                <c:pt idx="31">
                  <c:v>20</c:v>
                </c:pt>
                <c:pt idx="32">
                  <c:v>24</c:v>
                </c:pt>
                <c:pt idx="33">
                  <c:v>350</c:v>
                </c:pt>
                <c:pt idx="34">
                  <c:v>696</c:v>
                </c:pt>
                <c:pt idx="35">
                  <c:v>122</c:v>
                </c:pt>
                <c:pt idx="36">
                  <c:v>279</c:v>
                </c:pt>
                <c:pt idx="37">
                  <c:v>120</c:v>
                </c:pt>
                <c:pt idx="38">
                  <c:v>925</c:v>
                </c:pt>
                <c:pt idx="39">
                  <c:v>475</c:v>
                </c:pt>
                <c:pt idx="40">
                  <c:v>470</c:v>
                </c:pt>
                <c:pt idx="41">
                  <c:v>865</c:v>
                </c:pt>
                <c:pt idx="42">
                  <c:v>872</c:v>
                </c:pt>
                <c:pt idx="43">
                  <c:v>1805</c:v>
                </c:pt>
                <c:pt idx="44">
                  <c:v>1756</c:v>
                </c:pt>
                <c:pt idx="45">
                  <c:v>1615</c:v>
                </c:pt>
                <c:pt idx="46">
                  <c:v>2305</c:v>
                </c:pt>
                <c:pt idx="47">
                  <c:v>3907</c:v>
                </c:pt>
                <c:pt idx="48">
                  <c:v>1917</c:v>
                </c:pt>
                <c:pt idx="49">
                  <c:v>1574</c:v>
                </c:pt>
                <c:pt idx="50">
                  <c:v>1700</c:v>
                </c:pt>
                <c:pt idx="51">
                  <c:v>1000</c:v>
                </c:pt>
                <c:pt idx="52">
                  <c:v>2400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821824"/>
        <c:axId val="245823744"/>
      </c:lineChart>
      <c:catAx>
        <c:axId val="245821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45823744"/>
        <c:crosses val="autoZero"/>
        <c:auto val="1"/>
        <c:lblAlgn val="ctr"/>
        <c:lblOffset val="100"/>
        <c:noMultiLvlLbl val="0"/>
      </c:catAx>
      <c:valAx>
        <c:axId val="24582374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AU" sz="11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000,480 lb. bales</a:t>
                </a:r>
                <a:endParaRPr lang="en-AU" sz="11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4807899568640563E-2"/>
              <c:y val="0.2624899249798499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4582182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en-US" sz="1200" b="0">
                <a:latin typeface="Times New Roman" pitchFamily="18" charset="0"/>
                <a:cs typeface="Times New Roman" pitchFamily="18" charset="0"/>
              </a:rPr>
              <a:t>Exports</a:t>
            </a:r>
          </a:p>
        </c:rich>
      </c:tx>
      <c:layout>
        <c:manualLayout>
          <c:xMode val="edge"/>
          <c:yMode val="edge"/>
          <c:x val="0.38900851054180352"/>
          <c:y val="0.14492050985415741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Sheet5!$B$1</c:f>
              <c:strCache>
                <c:ptCount val="1"/>
                <c:pt idx="0">
                  <c:v>Exports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4"/>
            <c:spPr>
              <a:solidFill>
                <a:schemeClr val="tx1"/>
              </a:solidFill>
              <a:ln w="15875">
                <a:solidFill>
                  <a:schemeClr val="tx1"/>
                </a:solidFill>
              </a:ln>
            </c:spPr>
          </c:marker>
          <c:cat>
            <c:numRef>
              <c:f>Sheet5!$A$2:$A$54</c:f>
              <c:numCache>
                <c:formatCode>General</c:formatCode>
                <c:ptCount val="53"/>
                <c:pt idx="0">
                  <c:v>1960</c:v>
                </c:pt>
                <c:pt idx="1">
                  <c:v>1961</c:v>
                </c:pt>
                <c:pt idx="2">
                  <c:v>1962</c:v>
                </c:pt>
                <c:pt idx="3">
                  <c:v>1963</c:v>
                </c:pt>
                <c:pt idx="4">
                  <c:v>1964</c:v>
                </c:pt>
                <c:pt idx="5">
                  <c:v>1965</c:v>
                </c:pt>
                <c:pt idx="6">
                  <c:v>1966</c:v>
                </c:pt>
                <c:pt idx="7">
                  <c:v>1967</c:v>
                </c:pt>
                <c:pt idx="8">
                  <c:v>1968</c:v>
                </c:pt>
                <c:pt idx="9">
                  <c:v>1969</c:v>
                </c:pt>
                <c:pt idx="10">
                  <c:v>1970</c:v>
                </c:pt>
                <c:pt idx="11">
                  <c:v>1971</c:v>
                </c:pt>
                <c:pt idx="12">
                  <c:v>1972</c:v>
                </c:pt>
                <c:pt idx="13">
                  <c:v>1973</c:v>
                </c:pt>
                <c:pt idx="14">
                  <c:v>1974</c:v>
                </c:pt>
                <c:pt idx="15">
                  <c:v>1975</c:v>
                </c:pt>
                <c:pt idx="16">
                  <c:v>1976</c:v>
                </c:pt>
                <c:pt idx="17">
                  <c:v>1977</c:v>
                </c:pt>
                <c:pt idx="18">
                  <c:v>1978</c:v>
                </c:pt>
                <c:pt idx="19">
                  <c:v>1979</c:v>
                </c:pt>
                <c:pt idx="20">
                  <c:v>1980</c:v>
                </c:pt>
                <c:pt idx="21">
                  <c:v>1981</c:v>
                </c:pt>
                <c:pt idx="22">
                  <c:v>1982</c:v>
                </c:pt>
                <c:pt idx="23">
                  <c:v>1983</c:v>
                </c:pt>
                <c:pt idx="24">
                  <c:v>1984</c:v>
                </c:pt>
                <c:pt idx="25">
                  <c:v>1985</c:v>
                </c:pt>
                <c:pt idx="26">
                  <c:v>1986</c:v>
                </c:pt>
                <c:pt idx="27">
                  <c:v>1987</c:v>
                </c:pt>
                <c:pt idx="28">
                  <c:v>1988</c:v>
                </c:pt>
                <c:pt idx="29">
                  <c:v>1989</c:v>
                </c:pt>
                <c:pt idx="30">
                  <c:v>1990</c:v>
                </c:pt>
                <c:pt idx="31">
                  <c:v>1991</c:v>
                </c:pt>
                <c:pt idx="32">
                  <c:v>1992</c:v>
                </c:pt>
                <c:pt idx="33">
                  <c:v>1993</c:v>
                </c:pt>
                <c:pt idx="34">
                  <c:v>1994</c:v>
                </c:pt>
                <c:pt idx="35">
                  <c:v>1995</c:v>
                </c:pt>
                <c:pt idx="36">
                  <c:v>1996</c:v>
                </c:pt>
                <c:pt idx="37">
                  <c:v>1997</c:v>
                </c:pt>
                <c:pt idx="38">
                  <c:v>1998</c:v>
                </c:pt>
                <c:pt idx="39">
                  <c:v>1999</c:v>
                </c:pt>
                <c:pt idx="40">
                  <c:v>2000</c:v>
                </c:pt>
                <c:pt idx="41">
                  <c:v>2001</c:v>
                </c:pt>
                <c:pt idx="42">
                  <c:v>2002</c:v>
                </c:pt>
                <c:pt idx="43">
                  <c:v>2003</c:v>
                </c:pt>
                <c:pt idx="44">
                  <c:v>2004</c:v>
                </c:pt>
                <c:pt idx="45">
                  <c:v>2005</c:v>
                </c:pt>
                <c:pt idx="46">
                  <c:v>2006</c:v>
                </c:pt>
                <c:pt idx="47">
                  <c:v>2007</c:v>
                </c:pt>
                <c:pt idx="48">
                  <c:v>2008</c:v>
                </c:pt>
                <c:pt idx="49">
                  <c:v>2009</c:v>
                </c:pt>
                <c:pt idx="50">
                  <c:v>2010</c:v>
                </c:pt>
                <c:pt idx="51">
                  <c:v>2011</c:v>
                </c:pt>
                <c:pt idx="52">
                  <c:v>2012</c:v>
                </c:pt>
              </c:numCache>
            </c:numRef>
          </c:cat>
          <c:val>
            <c:numRef>
              <c:f>Sheet5!$B$2:$B$54</c:f>
              <c:numCache>
                <c:formatCode>General</c:formatCode>
                <c:ptCount val="53"/>
                <c:pt idx="0">
                  <c:v>244</c:v>
                </c:pt>
                <c:pt idx="1">
                  <c:v>299</c:v>
                </c:pt>
                <c:pt idx="2">
                  <c:v>683</c:v>
                </c:pt>
                <c:pt idx="3">
                  <c:v>689</c:v>
                </c:pt>
                <c:pt idx="4">
                  <c:v>485</c:v>
                </c:pt>
                <c:pt idx="5">
                  <c:v>492</c:v>
                </c:pt>
                <c:pt idx="6">
                  <c:v>558</c:v>
                </c:pt>
                <c:pt idx="7">
                  <c:v>887</c:v>
                </c:pt>
                <c:pt idx="8">
                  <c:v>606</c:v>
                </c:pt>
                <c:pt idx="9">
                  <c:v>393</c:v>
                </c:pt>
                <c:pt idx="10">
                  <c:v>473</c:v>
                </c:pt>
                <c:pt idx="11">
                  <c:v>1151</c:v>
                </c:pt>
                <c:pt idx="12">
                  <c:v>822</c:v>
                </c:pt>
                <c:pt idx="13">
                  <c:v>196</c:v>
                </c:pt>
                <c:pt idx="14">
                  <c:v>1060</c:v>
                </c:pt>
                <c:pt idx="15">
                  <c:v>418</c:v>
                </c:pt>
                <c:pt idx="16">
                  <c:v>65</c:v>
                </c:pt>
                <c:pt idx="17">
                  <c:v>471</c:v>
                </c:pt>
                <c:pt idx="18">
                  <c:v>246</c:v>
                </c:pt>
                <c:pt idx="19">
                  <c:v>1177</c:v>
                </c:pt>
                <c:pt idx="20">
                  <c:v>1489</c:v>
                </c:pt>
                <c:pt idx="21">
                  <c:v>1096</c:v>
                </c:pt>
                <c:pt idx="22">
                  <c:v>1272</c:v>
                </c:pt>
                <c:pt idx="23">
                  <c:v>377</c:v>
                </c:pt>
                <c:pt idx="24">
                  <c:v>1260</c:v>
                </c:pt>
                <c:pt idx="25">
                  <c:v>3146</c:v>
                </c:pt>
                <c:pt idx="26">
                  <c:v>2870</c:v>
                </c:pt>
                <c:pt idx="27">
                  <c:v>2358</c:v>
                </c:pt>
                <c:pt idx="28">
                  <c:v>3780</c:v>
                </c:pt>
                <c:pt idx="29">
                  <c:v>1371</c:v>
                </c:pt>
                <c:pt idx="30">
                  <c:v>1357</c:v>
                </c:pt>
                <c:pt idx="31">
                  <c:v>2059</c:v>
                </c:pt>
                <c:pt idx="32">
                  <c:v>1175</c:v>
                </c:pt>
                <c:pt idx="33">
                  <c:v>318</c:v>
                </c:pt>
                <c:pt idx="34">
                  <c:v>148</c:v>
                </c:pt>
                <c:pt idx="35">
                  <c:v>1433</c:v>
                </c:pt>
                <c:pt idx="36">
                  <c:v>119</c:v>
                </c:pt>
                <c:pt idx="37">
                  <c:v>380</c:v>
                </c:pt>
                <c:pt idx="38">
                  <c:v>10</c:v>
                </c:pt>
                <c:pt idx="39">
                  <c:v>415</c:v>
                </c:pt>
                <c:pt idx="40">
                  <c:v>582</c:v>
                </c:pt>
                <c:pt idx="41">
                  <c:v>180</c:v>
                </c:pt>
                <c:pt idx="42">
                  <c:v>231</c:v>
                </c:pt>
                <c:pt idx="43">
                  <c:v>170</c:v>
                </c:pt>
                <c:pt idx="44">
                  <c:v>558</c:v>
                </c:pt>
                <c:pt idx="45">
                  <c:v>288</c:v>
                </c:pt>
                <c:pt idx="46">
                  <c:v>217</c:v>
                </c:pt>
                <c:pt idx="47">
                  <c:v>269</c:v>
                </c:pt>
                <c:pt idx="48">
                  <c:v>357</c:v>
                </c:pt>
                <c:pt idx="49">
                  <c:v>725</c:v>
                </c:pt>
                <c:pt idx="50">
                  <c:v>625</c:v>
                </c:pt>
                <c:pt idx="51">
                  <c:v>1150</c:v>
                </c:pt>
                <c:pt idx="52">
                  <c:v>500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901184"/>
        <c:axId val="245911552"/>
      </c:lineChart>
      <c:catAx>
        <c:axId val="245901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45911552"/>
        <c:crosses val="autoZero"/>
        <c:auto val="1"/>
        <c:lblAlgn val="ctr"/>
        <c:lblOffset val="100"/>
        <c:noMultiLvlLbl val="0"/>
      </c:catAx>
      <c:valAx>
        <c:axId val="2459115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AU" sz="11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000,480 lb. bales</a:t>
                </a:r>
                <a:endParaRPr lang="en-AU" sz="11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51727794859445E-2"/>
              <c:y val="0.2422723067332165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4590118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</Words>
  <Characters>121</Characters>
  <Application>Microsoft Office Word</Application>
  <DocSecurity>0</DocSecurity>
  <Lines>1</Lines>
  <Paragraphs>1</Paragraphs>
  <ScaleCrop>false</ScaleCrop>
  <Company>UWA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wattom01</dc:creator>
  <cp:keywords/>
  <dc:description/>
  <cp:lastModifiedBy>wattom01</cp:lastModifiedBy>
  <cp:revision>2</cp:revision>
  <dcterms:created xsi:type="dcterms:W3CDTF">2014-04-05T14:37:00Z</dcterms:created>
  <dcterms:modified xsi:type="dcterms:W3CDTF">2014-04-05T14:39:00Z</dcterms:modified>
</cp:coreProperties>
</file>