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C7F35" w14:textId="77777777" w:rsidR="00287C2A" w:rsidRDefault="00287C2A" w:rsidP="00287C2A">
      <w:r>
        <w:t>The Wager Renewed: Believing in God is Good for You</w:t>
      </w:r>
    </w:p>
    <w:p w14:paraId="5F9909E4" w14:textId="77777777" w:rsidR="003C6F3B" w:rsidRDefault="003C6F3B" w:rsidP="003C6F3B"/>
    <w:p w14:paraId="0D1D506A" w14:textId="77777777" w:rsidR="00287C2A" w:rsidRDefault="003C6F3B" w:rsidP="003C6F3B">
      <w:r>
        <w:t>Abstract</w:t>
      </w:r>
      <w:r w:rsidR="00287C2A">
        <w:t>:</w:t>
      </w:r>
    </w:p>
    <w:p w14:paraId="38A2AB28" w14:textId="77777777" w:rsidR="00287C2A" w:rsidRDefault="00287C2A" w:rsidP="00B96459">
      <w:pPr>
        <w:ind w:left="720"/>
        <w:jc w:val="both"/>
      </w:pPr>
      <w:r>
        <w:t xml:space="preserve">Not all of our reasons for belief are epistemic in nature.  Some of our reasons for belief are prudential in the sense that believing advances our personal goals.  When it comes to belief in God, the most famous attempt at a prudential reason for belief is Pascal’s Wager.  And although Pascal’s Wager fails, its failure is instructive.  Pascal’s Wager fails because it relies on unjustified assumptions about what happens in the afterlife to those who believe in God verses those who do not.  A renewed wager </w:t>
      </w:r>
      <w:r w:rsidR="00B96459">
        <w:t xml:space="preserve">can avoid this difficulty by relying solely on well-documented differences between the </w:t>
      </w:r>
      <w:r w:rsidR="00110C22">
        <w:t xml:space="preserve">present </w:t>
      </w:r>
      <w:r w:rsidR="00B96459">
        <w:t>lives of the religious and non-religious.  Social scientists have put together an impressive set of data that shows that theists do better in terms of happiness, health, longevity, interpersonal relationships, and charitable giving.  Hence, most people have a strong reason to believe in God regardless of the evidence.</w:t>
      </w:r>
    </w:p>
    <w:p w14:paraId="538CDD4B" w14:textId="77777777" w:rsidR="003C6F3B" w:rsidRDefault="003C6F3B" w:rsidP="00287C2A">
      <w:pPr>
        <w:ind w:left="720"/>
      </w:pPr>
      <w:r>
        <w:br/>
      </w:r>
    </w:p>
    <w:p w14:paraId="5E127630" w14:textId="77777777" w:rsidR="003C6F3B" w:rsidRDefault="003C6F3B" w:rsidP="003C6F3B">
      <w:r>
        <w:br/>
      </w:r>
    </w:p>
    <w:p w14:paraId="054CF784" w14:textId="77777777" w:rsidR="003C6F3B" w:rsidRDefault="003C6F3B">
      <w:r>
        <w:br w:type="page"/>
      </w:r>
    </w:p>
    <w:p w14:paraId="74C041E4" w14:textId="77777777" w:rsidR="00983E06" w:rsidRPr="00E96324" w:rsidRDefault="00E96324" w:rsidP="00E96324">
      <w:pPr>
        <w:rPr>
          <w:b/>
        </w:rPr>
      </w:pPr>
      <w:r w:rsidRPr="00E96324">
        <w:rPr>
          <w:b/>
        </w:rPr>
        <w:lastRenderedPageBreak/>
        <w:t>1. Reasons and Belief in God</w:t>
      </w:r>
    </w:p>
    <w:p w14:paraId="0EACB7D9" w14:textId="6C6AA445" w:rsidR="007E4046" w:rsidRDefault="007E4046" w:rsidP="00E96324">
      <w:pPr>
        <w:spacing w:line="480" w:lineRule="auto"/>
      </w:pPr>
      <w:r>
        <w:t>Believing in God is good for you, and so you have a reason to believe in God</w:t>
      </w:r>
      <w:r w:rsidR="00F251BF" w:rsidRPr="00F251BF">
        <w:rPr>
          <w:vertAlign w:val="superscript"/>
        </w:rPr>
        <w:t>1</w:t>
      </w:r>
      <w:r>
        <w:t>. This is so despite any reason you may have for thinking that it’s true that God exists.  The upshot is that it might be rational to be a theist even if you lack evidence for the truth of theism.</w:t>
      </w:r>
    </w:p>
    <w:p w14:paraId="1315C897" w14:textId="77777777" w:rsidR="00331CB6" w:rsidRDefault="00331CB6" w:rsidP="007E4046">
      <w:pPr>
        <w:spacing w:line="480" w:lineRule="auto"/>
        <w:ind w:firstLine="720"/>
      </w:pPr>
      <w:r>
        <w:t xml:space="preserve">Most </w:t>
      </w:r>
      <w:r w:rsidR="007E4046">
        <w:t>of us</w:t>
      </w:r>
      <w:r>
        <w:t xml:space="preserve"> want to be rational.  </w:t>
      </w:r>
      <w:r w:rsidR="00FB6C5B">
        <w:t>At a minimum, rationality requires us</w:t>
      </w:r>
      <w:r>
        <w:t xml:space="preserve"> to adopt </w:t>
      </w:r>
      <w:r w:rsidR="00FB6C5B">
        <w:t xml:space="preserve">what appear to be </w:t>
      </w:r>
      <w:r>
        <w:t xml:space="preserve">the best means of achieving </w:t>
      </w:r>
      <w:r w:rsidR="00FB6C5B">
        <w:t>our</w:t>
      </w:r>
      <w:r>
        <w:t xml:space="preserve"> goals.  One way of cashing this out is in terms of reasons: the rational person is the one who does what she has best reason to do at any given time.</w:t>
      </w:r>
    </w:p>
    <w:p w14:paraId="45BD0AA4" w14:textId="4BDCF5DA" w:rsidR="00411AC0" w:rsidRDefault="008962CF" w:rsidP="00331CB6">
      <w:pPr>
        <w:spacing w:line="480" w:lineRule="auto"/>
        <w:ind w:firstLine="720"/>
      </w:pPr>
      <w:r>
        <w:t>Reasons</w:t>
      </w:r>
      <w:r w:rsidR="00383A82">
        <w:t xml:space="preserve"> can be sorted into two types.  </w:t>
      </w:r>
      <w:r w:rsidR="00383A82" w:rsidRPr="0046367A">
        <w:rPr>
          <w:i/>
        </w:rPr>
        <w:t xml:space="preserve">Epistemic reasons </w:t>
      </w:r>
      <w:r w:rsidR="00383A82">
        <w:t xml:space="preserve">are reasons that advance the goal of attaining </w:t>
      </w:r>
      <w:r>
        <w:t>the truth</w:t>
      </w:r>
      <w:r w:rsidR="00383A82">
        <w:t>.  Most people have such a goal</w:t>
      </w:r>
      <w:r w:rsidR="0046367A">
        <w:t>; we want our beliefs about the world to match up to the way the world really is</w:t>
      </w:r>
      <w:r w:rsidR="00383A82">
        <w:t xml:space="preserve">.  </w:t>
      </w:r>
      <w:r w:rsidR="00411AC0">
        <w:t xml:space="preserve">For example, you have an epistemic reason to believe that you are reading a philosophy paper right now.  </w:t>
      </w:r>
      <w:r w:rsidR="00411AC0" w:rsidRPr="00411AC0">
        <w:rPr>
          <w:i/>
        </w:rPr>
        <w:t>N</w:t>
      </w:r>
      <w:r w:rsidR="00383A82" w:rsidRPr="00411AC0">
        <w:rPr>
          <w:i/>
        </w:rPr>
        <w:t>o</w:t>
      </w:r>
      <w:r w:rsidR="00383A82" w:rsidRPr="0046367A">
        <w:rPr>
          <w:i/>
        </w:rPr>
        <w:t>n-epistemic</w:t>
      </w:r>
      <w:r w:rsidR="00383A82">
        <w:t xml:space="preserve"> </w:t>
      </w:r>
      <w:r>
        <w:t>reasons</w:t>
      </w:r>
      <w:r w:rsidR="00383A82">
        <w:t xml:space="preserve"> are reasons that advance some other, non-truth-related goal.  </w:t>
      </w:r>
      <w:r w:rsidR="00411AC0">
        <w:t xml:space="preserve">One species of non-epistemic reasons are </w:t>
      </w:r>
      <w:r w:rsidR="00411AC0" w:rsidRPr="00411AC0">
        <w:rPr>
          <w:i/>
        </w:rPr>
        <w:t>prudential reasons</w:t>
      </w:r>
      <w:r w:rsidR="00F251BF" w:rsidRPr="00F251BF">
        <w:rPr>
          <w:vertAlign w:val="superscript"/>
        </w:rPr>
        <w:t>2</w:t>
      </w:r>
      <w:r w:rsidR="00411AC0">
        <w:t>. A prudential reason is a reason that advances one’s personal interests other than truth.  For example, if you are like most people, you have a prudential reason to eat food every day.  Doing so advances your interest in staying alive, being healthy, etc.</w:t>
      </w:r>
    </w:p>
    <w:p w14:paraId="004E21DB" w14:textId="77777777" w:rsidR="00385A96" w:rsidRDefault="00411AC0" w:rsidP="00331CB6">
      <w:pPr>
        <w:spacing w:line="480" w:lineRule="auto"/>
        <w:ind w:firstLine="720"/>
      </w:pPr>
      <w:r>
        <w:t xml:space="preserve">Often these reasons are aimed at actions.  If your immediate goal is to quench your thirst, you have a reason to get a glass of water.  But reasons can also be aimed at </w:t>
      </w:r>
      <w:r w:rsidR="00061445">
        <w:t xml:space="preserve">cognitive </w:t>
      </w:r>
      <w:r>
        <w:t xml:space="preserve">states of affairs like believing or knowing.  If you want to attend your friend’s party, you have a reason to gain accurate beliefs about where she lives.  And while it may be obvious that we can have </w:t>
      </w:r>
      <w:r w:rsidRPr="00F549BB">
        <w:rPr>
          <w:i/>
        </w:rPr>
        <w:t>epistemic</w:t>
      </w:r>
      <w:r>
        <w:t xml:space="preserve"> reasons for belief, we can also have </w:t>
      </w:r>
      <w:r w:rsidR="00383A82" w:rsidRPr="00F549BB">
        <w:rPr>
          <w:i/>
        </w:rPr>
        <w:t>prudential</w:t>
      </w:r>
      <w:r w:rsidR="00383A82">
        <w:t xml:space="preserve"> r</w:t>
      </w:r>
      <w:r w:rsidR="00385A96">
        <w:t>easons for belief</w:t>
      </w:r>
      <w:r w:rsidR="00F549BB">
        <w:t xml:space="preserve">.  </w:t>
      </w:r>
      <w:r w:rsidR="00385A96">
        <w:t xml:space="preserve">The placebo effect provides an easy example.  In many cases, the patient’s belief in the efficacy of a drug or a treatment actually improves the odds of achieving the desired result.  If you believe that the pill you’ve been given will relieve your headache, it becomes more likely that the pill will relieve your headache.  </w:t>
      </w:r>
      <w:r w:rsidR="00F549BB">
        <w:t xml:space="preserve">Or consider </w:t>
      </w:r>
      <w:r w:rsidR="009546A9">
        <w:t xml:space="preserve">another example common in </w:t>
      </w:r>
      <w:r w:rsidR="009546A9">
        <w:lastRenderedPageBreak/>
        <w:t>contemporary literature: you’re a mountaineer, and you’ve got to jump over a crevice in order to make it off the mountain.  Regardless of your evidence of whether you can make such a leap, it is in your best interest to believe that you will make it.  Believing in this way provides you with the confidence you need to bolster your chances of making it.  The lesson is that be</w:t>
      </w:r>
      <w:r w:rsidR="00385A96">
        <w:t>liefs advance goals other than the goal of getting to the truth.</w:t>
      </w:r>
    </w:p>
    <w:p w14:paraId="50756DBA" w14:textId="77777777" w:rsidR="00385A96" w:rsidRDefault="00385A96" w:rsidP="00331CB6">
      <w:pPr>
        <w:spacing w:line="480" w:lineRule="auto"/>
        <w:ind w:firstLine="720"/>
      </w:pPr>
      <w:r>
        <w:t xml:space="preserve">In the case of God, most of the philosophical debate has surrounded </w:t>
      </w:r>
      <w:r w:rsidRPr="0046367A">
        <w:rPr>
          <w:i/>
        </w:rPr>
        <w:t>epistemic</w:t>
      </w:r>
      <w:r>
        <w:t xml:space="preserve"> reasons for belief.  Theists offer epistemic reasons for theistic belief, i.e. reasons to think that it is true that God exists.  These reasons include things like the cosmological argument, the argument from design, appeals to religious experience, etc.  Similarly, atheists offer epistemic reasons for atheistic belief, i.e. reasons to think that it is false that God exists.  These reasons include things like the argument from evil, the argument from divine hiddenness, etc.</w:t>
      </w:r>
      <w:r w:rsidR="00D7704C">
        <w:t xml:space="preserve">  In both cases the respective philosophers attempt to gather evidence for the belief that God exists or does not.</w:t>
      </w:r>
    </w:p>
    <w:p w14:paraId="43FF67FD" w14:textId="63A69E26" w:rsidR="00E96324" w:rsidRDefault="00385A96" w:rsidP="00331CB6">
      <w:pPr>
        <w:spacing w:line="480" w:lineRule="auto"/>
        <w:ind w:firstLine="720"/>
      </w:pPr>
      <w:r>
        <w:t xml:space="preserve">However, there is at least one notable attempt to provide a </w:t>
      </w:r>
      <w:r w:rsidRPr="0046367A">
        <w:rPr>
          <w:i/>
        </w:rPr>
        <w:t>prudential</w:t>
      </w:r>
      <w:r>
        <w:t xml:space="preserve"> reason for theistic belief: Pascal’s Wager</w:t>
      </w:r>
      <w:r w:rsidR="00F251BF" w:rsidRPr="00F251BF">
        <w:rPr>
          <w:vertAlign w:val="superscript"/>
        </w:rPr>
        <w:t>3</w:t>
      </w:r>
      <w:r>
        <w:t>.</w:t>
      </w:r>
      <w:r w:rsidR="0046367A">
        <w:t xml:space="preserve"> The wager purportedly offers us a prudential reason to adopt the belief that God exists apart from any truth-related </w:t>
      </w:r>
      <w:r w:rsidR="00D7704C">
        <w:t>goals</w:t>
      </w:r>
      <w:r w:rsidR="0046367A">
        <w:t xml:space="preserve"> we might have.</w:t>
      </w:r>
      <w:r>
        <w:t xml:space="preserve">  </w:t>
      </w:r>
      <w:r w:rsidR="00383A82">
        <w:t xml:space="preserve"> </w:t>
      </w:r>
      <w:r w:rsidR="00D7704C">
        <w:t xml:space="preserve">It is widely (but not universally) conceded that Pascal’s Wager is a failure.  It fails because there is little support for the crucial assumptions the Wager makes about the afterlife.  </w:t>
      </w:r>
      <w:r w:rsidR="00312D0D">
        <w:t xml:space="preserve">We have no reliable information about how theistic belief (or its absence) makes the afterlife better (or worse). </w:t>
      </w:r>
      <w:r w:rsidR="00D7704C">
        <w:t xml:space="preserve"> </w:t>
      </w:r>
    </w:p>
    <w:p w14:paraId="384540F5" w14:textId="77777777" w:rsidR="00383A82" w:rsidRDefault="007E4046" w:rsidP="00331CB6">
      <w:pPr>
        <w:spacing w:line="480" w:lineRule="auto"/>
        <w:ind w:firstLine="720"/>
      </w:pPr>
      <w:r>
        <w:t>On the other hand</w:t>
      </w:r>
      <w:r w:rsidR="00312D0D">
        <w:t xml:space="preserve">, we do have reliable information about how theistic belief (or its absence) makes the </w:t>
      </w:r>
      <w:r w:rsidR="00312D0D" w:rsidRPr="00E96324">
        <w:rPr>
          <w:i/>
        </w:rPr>
        <w:t>present</w:t>
      </w:r>
      <w:r w:rsidR="00312D0D">
        <w:t xml:space="preserve"> life better (or worse).  This information has been provided over the past thirty years by social scientists</w:t>
      </w:r>
      <w:r w:rsidR="00E96324">
        <w:t xml:space="preserve"> and provides the raw materials for the</w:t>
      </w:r>
      <w:r w:rsidR="00312D0D">
        <w:t xml:space="preserve"> defense of a </w:t>
      </w:r>
      <w:r w:rsidR="00287C2A">
        <w:t>renewed wager</w:t>
      </w:r>
      <w:r w:rsidR="00312D0D">
        <w:t>.</w:t>
      </w:r>
      <w:r w:rsidR="00E96324">
        <w:t xml:space="preserve">  The gist is that belief in God advances many of our goals regardless of whether there is an afterlife.  Hence we have a prudential reason to believe in God. </w:t>
      </w:r>
    </w:p>
    <w:p w14:paraId="53D9CDFF" w14:textId="77777777" w:rsidR="00E96324" w:rsidRPr="00E96324" w:rsidRDefault="00E96324">
      <w:pPr>
        <w:rPr>
          <w:b/>
        </w:rPr>
      </w:pPr>
      <w:r w:rsidRPr="00E96324">
        <w:rPr>
          <w:b/>
        </w:rPr>
        <w:lastRenderedPageBreak/>
        <w:t>2. The Failure of Pascal’s Wager</w:t>
      </w:r>
    </w:p>
    <w:p w14:paraId="65C0850E" w14:textId="77777777" w:rsidR="00E96324" w:rsidRDefault="00613C0C" w:rsidP="00613C0C">
      <w:pPr>
        <w:spacing w:line="480" w:lineRule="auto"/>
        <w:rPr>
          <w:rFonts w:ascii="Calibri" w:hAnsi="Calibri"/>
        </w:rPr>
      </w:pPr>
      <w:r>
        <w:t xml:space="preserve">Understanding the failure of Pascal’s Wager is useful for appreciating the force of the renewed wager.  ‘Pascal’s Wager’ refers to a family </w:t>
      </w:r>
      <w:r w:rsidRPr="004525F3">
        <w:rPr>
          <w:rFonts w:ascii="Calibri" w:hAnsi="Calibri"/>
        </w:rPr>
        <w:t>of arguments that are united by invoking facts about the afterlife to conclude that we have prudential reasons to believe in God</w:t>
      </w:r>
      <w:r w:rsidR="004525F3">
        <w:rPr>
          <w:rFonts w:ascii="Calibri" w:hAnsi="Calibri"/>
        </w:rPr>
        <w:t xml:space="preserve"> (see Jordan 2006)</w:t>
      </w:r>
      <w:r w:rsidRPr="004525F3">
        <w:rPr>
          <w:rFonts w:ascii="Calibri" w:hAnsi="Calibri"/>
        </w:rPr>
        <w:t xml:space="preserve">.  The arguments are inspired by the work of Blaise Pascal who includes a number of disjointed claims about the value of belief in God in </w:t>
      </w:r>
      <w:r w:rsidRPr="004525F3">
        <w:rPr>
          <w:rFonts w:ascii="Calibri" w:hAnsi="Calibri"/>
          <w:i/>
        </w:rPr>
        <w:t xml:space="preserve">The </w:t>
      </w:r>
      <w:proofErr w:type="spellStart"/>
      <w:r w:rsidRPr="004525F3">
        <w:rPr>
          <w:rFonts w:ascii="Calibri" w:hAnsi="Calibri"/>
          <w:i/>
        </w:rPr>
        <w:t>Pens</w:t>
      </w:r>
      <w:r w:rsidRPr="004525F3">
        <w:rPr>
          <w:rFonts w:ascii="Calibri" w:hAnsi="Calibri" w:cs="Times New Roman"/>
          <w:i/>
        </w:rPr>
        <w:t>é</w:t>
      </w:r>
      <w:r w:rsidRPr="004525F3">
        <w:rPr>
          <w:rFonts w:ascii="Calibri" w:hAnsi="Calibri"/>
          <w:i/>
        </w:rPr>
        <w:t>es</w:t>
      </w:r>
      <w:proofErr w:type="spellEnd"/>
      <w:r w:rsidR="004525F3">
        <w:rPr>
          <w:rFonts w:ascii="Calibri" w:hAnsi="Calibri"/>
        </w:rPr>
        <w:t xml:space="preserve">.  While there are many permutations of the argument, the </w:t>
      </w:r>
      <w:r w:rsidR="0056421B">
        <w:rPr>
          <w:rFonts w:ascii="Calibri" w:hAnsi="Calibri"/>
        </w:rPr>
        <w:t xml:space="preserve">most basic form presents us with a utility calculus.  In terms of </w:t>
      </w:r>
      <w:r w:rsidR="00925119">
        <w:rPr>
          <w:rFonts w:ascii="Calibri" w:hAnsi="Calibri"/>
        </w:rPr>
        <w:t>options for belief in God</w:t>
      </w:r>
      <w:r w:rsidR="0056421B">
        <w:rPr>
          <w:rFonts w:ascii="Calibri" w:hAnsi="Calibri"/>
        </w:rPr>
        <w:t xml:space="preserve">, </w:t>
      </w:r>
      <w:r w:rsidR="00925119">
        <w:rPr>
          <w:rFonts w:ascii="Calibri" w:hAnsi="Calibri"/>
        </w:rPr>
        <w:t>there are</w:t>
      </w:r>
      <w:r w:rsidR="0056421B">
        <w:rPr>
          <w:rFonts w:ascii="Calibri" w:hAnsi="Calibri"/>
        </w:rPr>
        <w:t xml:space="preserve"> only two possibilities: either beli</w:t>
      </w:r>
      <w:r w:rsidR="00925119">
        <w:rPr>
          <w:rFonts w:ascii="Calibri" w:hAnsi="Calibri"/>
        </w:rPr>
        <w:t>eve in God or do not.  Similarly, i</w:t>
      </w:r>
      <w:r w:rsidR="0056421B">
        <w:rPr>
          <w:rFonts w:ascii="Calibri" w:hAnsi="Calibri"/>
        </w:rPr>
        <w:t xml:space="preserve">n terms of </w:t>
      </w:r>
      <w:r w:rsidR="00925119">
        <w:rPr>
          <w:rFonts w:ascii="Calibri" w:hAnsi="Calibri"/>
        </w:rPr>
        <w:t>the existence of God</w:t>
      </w:r>
      <w:r w:rsidR="0056421B">
        <w:rPr>
          <w:rFonts w:ascii="Calibri" w:hAnsi="Calibri"/>
        </w:rPr>
        <w:t xml:space="preserve">, there are only two possibilities: </w:t>
      </w:r>
      <w:r w:rsidR="00F84CC9">
        <w:rPr>
          <w:rFonts w:ascii="Calibri" w:hAnsi="Calibri"/>
        </w:rPr>
        <w:t>either God exists or does not.  A</w:t>
      </w:r>
      <w:r w:rsidR="00925119">
        <w:rPr>
          <w:rFonts w:ascii="Calibri" w:hAnsi="Calibri"/>
        </w:rPr>
        <w:t xml:space="preserve">dding expected outcomes to each possible combination yields the following </w:t>
      </w:r>
      <w:r w:rsidR="00F84CC9">
        <w:rPr>
          <w:rFonts w:ascii="Calibri" w:hAnsi="Calibri"/>
        </w:rPr>
        <w:t>utility calculus</w:t>
      </w:r>
      <w:r w:rsidR="00925119">
        <w:rPr>
          <w:rFonts w:ascii="Calibri" w:hAnsi="Calibri"/>
        </w:rPr>
        <w:t>:</w:t>
      </w:r>
    </w:p>
    <w:tbl>
      <w:tblPr>
        <w:tblStyle w:val="TableGrid"/>
        <w:tblW w:w="0" w:type="auto"/>
        <w:tblLook w:val="04A0" w:firstRow="1" w:lastRow="0" w:firstColumn="1" w:lastColumn="0" w:noHBand="0" w:noVBand="1"/>
      </w:tblPr>
      <w:tblGrid>
        <w:gridCol w:w="3116"/>
        <w:gridCol w:w="3117"/>
        <w:gridCol w:w="3117"/>
      </w:tblGrid>
      <w:tr w:rsidR="00F84CC9" w14:paraId="7F02FE86" w14:textId="77777777" w:rsidTr="00F84CC9">
        <w:tc>
          <w:tcPr>
            <w:tcW w:w="3116" w:type="dxa"/>
            <w:vAlign w:val="center"/>
          </w:tcPr>
          <w:p w14:paraId="25BD46A0" w14:textId="77777777" w:rsidR="00F84CC9" w:rsidRDefault="00F84CC9" w:rsidP="00613C0C">
            <w:pPr>
              <w:spacing w:line="480" w:lineRule="auto"/>
              <w:rPr>
                <w:rFonts w:ascii="Calibri" w:hAnsi="Calibri"/>
              </w:rPr>
            </w:pPr>
          </w:p>
        </w:tc>
        <w:tc>
          <w:tcPr>
            <w:tcW w:w="3117" w:type="dxa"/>
            <w:vAlign w:val="center"/>
          </w:tcPr>
          <w:p w14:paraId="694B281D" w14:textId="77777777" w:rsidR="00F84CC9" w:rsidRDefault="00F84CC9" w:rsidP="00B954CE">
            <w:pPr>
              <w:spacing w:line="480" w:lineRule="auto"/>
              <w:jc w:val="center"/>
              <w:rPr>
                <w:rFonts w:ascii="Calibri" w:hAnsi="Calibri"/>
              </w:rPr>
            </w:pPr>
            <w:r>
              <w:rPr>
                <w:rFonts w:ascii="Calibri" w:hAnsi="Calibri"/>
              </w:rPr>
              <w:t>God exists</w:t>
            </w:r>
          </w:p>
        </w:tc>
        <w:tc>
          <w:tcPr>
            <w:tcW w:w="3117" w:type="dxa"/>
            <w:vAlign w:val="center"/>
          </w:tcPr>
          <w:p w14:paraId="034EBF06" w14:textId="77777777" w:rsidR="00F84CC9" w:rsidRDefault="00F84CC9" w:rsidP="00B954CE">
            <w:pPr>
              <w:spacing w:line="480" w:lineRule="auto"/>
              <w:jc w:val="center"/>
              <w:rPr>
                <w:rFonts w:ascii="Calibri" w:hAnsi="Calibri"/>
              </w:rPr>
            </w:pPr>
            <w:r>
              <w:rPr>
                <w:rFonts w:ascii="Calibri" w:hAnsi="Calibri"/>
              </w:rPr>
              <w:t>God does not exist</w:t>
            </w:r>
          </w:p>
        </w:tc>
      </w:tr>
      <w:tr w:rsidR="00F84CC9" w14:paraId="12923084" w14:textId="77777777" w:rsidTr="00F84CC9">
        <w:tc>
          <w:tcPr>
            <w:tcW w:w="3116" w:type="dxa"/>
            <w:vAlign w:val="center"/>
          </w:tcPr>
          <w:p w14:paraId="30EB6779" w14:textId="77777777" w:rsidR="00F84CC9" w:rsidRDefault="00F84CC9" w:rsidP="00613C0C">
            <w:pPr>
              <w:spacing w:line="480" w:lineRule="auto"/>
              <w:rPr>
                <w:rFonts w:ascii="Calibri" w:hAnsi="Calibri"/>
              </w:rPr>
            </w:pPr>
            <w:r>
              <w:rPr>
                <w:rFonts w:ascii="Calibri" w:hAnsi="Calibri"/>
              </w:rPr>
              <w:t>Believe that God exists</w:t>
            </w:r>
          </w:p>
        </w:tc>
        <w:tc>
          <w:tcPr>
            <w:tcW w:w="3117" w:type="dxa"/>
            <w:vAlign w:val="center"/>
          </w:tcPr>
          <w:p w14:paraId="51ED630D" w14:textId="77777777" w:rsidR="00F84CC9" w:rsidRDefault="00F84CC9" w:rsidP="00B954CE">
            <w:pPr>
              <w:spacing w:line="480" w:lineRule="auto"/>
              <w:jc w:val="center"/>
              <w:rPr>
                <w:rFonts w:ascii="Calibri" w:hAnsi="Calibri"/>
              </w:rPr>
            </w:pPr>
            <w:r>
              <w:rPr>
                <w:rFonts w:ascii="Calibri" w:hAnsi="Calibri"/>
              </w:rPr>
              <w:t xml:space="preserve">Infinite </w:t>
            </w:r>
            <w:r w:rsidR="00985E0A">
              <w:rPr>
                <w:rFonts w:ascii="Calibri" w:hAnsi="Calibri"/>
              </w:rPr>
              <w:t>gain</w:t>
            </w:r>
          </w:p>
        </w:tc>
        <w:tc>
          <w:tcPr>
            <w:tcW w:w="3117" w:type="dxa"/>
            <w:vAlign w:val="center"/>
          </w:tcPr>
          <w:p w14:paraId="1AFDB840" w14:textId="77777777" w:rsidR="00F84CC9" w:rsidRDefault="007E4046" w:rsidP="00B954CE">
            <w:pPr>
              <w:spacing w:line="480" w:lineRule="auto"/>
              <w:jc w:val="center"/>
              <w:rPr>
                <w:rFonts w:ascii="Calibri" w:hAnsi="Calibri"/>
              </w:rPr>
            </w:pPr>
            <w:r>
              <w:rPr>
                <w:rFonts w:ascii="Calibri" w:hAnsi="Calibri"/>
              </w:rPr>
              <w:t>wash</w:t>
            </w:r>
          </w:p>
        </w:tc>
      </w:tr>
      <w:tr w:rsidR="00F84CC9" w14:paraId="7D764A71" w14:textId="77777777" w:rsidTr="00F84CC9">
        <w:tc>
          <w:tcPr>
            <w:tcW w:w="3116" w:type="dxa"/>
            <w:vAlign w:val="center"/>
          </w:tcPr>
          <w:p w14:paraId="0D5BF373" w14:textId="77777777" w:rsidR="00F84CC9" w:rsidRDefault="00F84CC9" w:rsidP="00613C0C">
            <w:pPr>
              <w:spacing w:line="480" w:lineRule="auto"/>
              <w:rPr>
                <w:rFonts w:ascii="Calibri" w:hAnsi="Calibri"/>
              </w:rPr>
            </w:pPr>
            <w:r>
              <w:rPr>
                <w:rFonts w:ascii="Calibri" w:hAnsi="Calibri"/>
              </w:rPr>
              <w:t>Do not believe that God exists</w:t>
            </w:r>
          </w:p>
        </w:tc>
        <w:tc>
          <w:tcPr>
            <w:tcW w:w="3117" w:type="dxa"/>
            <w:vAlign w:val="center"/>
          </w:tcPr>
          <w:p w14:paraId="1B973ECC" w14:textId="77777777" w:rsidR="00F84CC9" w:rsidRDefault="00F84CC9" w:rsidP="00B954CE">
            <w:pPr>
              <w:spacing w:line="480" w:lineRule="auto"/>
              <w:jc w:val="center"/>
              <w:rPr>
                <w:rFonts w:ascii="Calibri" w:hAnsi="Calibri"/>
              </w:rPr>
            </w:pPr>
            <w:r>
              <w:rPr>
                <w:rFonts w:ascii="Calibri" w:hAnsi="Calibri"/>
              </w:rPr>
              <w:t xml:space="preserve">Infinite </w:t>
            </w:r>
            <w:r w:rsidR="00985E0A">
              <w:rPr>
                <w:rFonts w:ascii="Calibri" w:hAnsi="Calibri"/>
              </w:rPr>
              <w:t>loss</w:t>
            </w:r>
          </w:p>
        </w:tc>
        <w:tc>
          <w:tcPr>
            <w:tcW w:w="3117" w:type="dxa"/>
            <w:vAlign w:val="center"/>
          </w:tcPr>
          <w:p w14:paraId="1450DE8C" w14:textId="77777777" w:rsidR="00F84CC9" w:rsidRDefault="007E4046" w:rsidP="00B954CE">
            <w:pPr>
              <w:spacing w:line="480" w:lineRule="auto"/>
              <w:jc w:val="center"/>
              <w:rPr>
                <w:rFonts w:ascii="Calibri" w:hAnsi="Calibri"/>
              </w:rPr>
            </w:pPr>
            <w:r>
              <w:rPr>
                <w:rFonts w:ascii="Calibri" w:hAnsi="Calibri"/>
              </w:rPr>
              <w:t>wash</w:t>
            </w:r>
          </w:p>
        </w:tc>
      </w:tr>
    </w:tbl>
    <w:p w14:paraId="3E12C9FC" w14:textId="77777777" w:rsidR="00F84CC9" w:rsidRDefault="00F84CC9" w:rsidP="00613C0C">
      <w:pPr>
        <w:spacing w:line="480" w:lineRule="auto"/>
        <w:rPr>
          <w:rFonts w:ascii="Calibri" w:hAnsi="Calibri"/>
        </w:rPr>
      </w:pPr>
    </w:p>
    <w:p w14:paraId="71DBA8FA" w14:textId="77777777" w:rsidR="00F84CC9" w:rsidRDefault="00F84CC9" w:rsidP="00613C0C">
      <w:pPr>
        <w:spacing w:line="480" w:lineRule="auto"/>
        <w:rPr>
          <w:rFonts w:ascii="Calibri" w:hAnsi="Calibri"/>
        </w:rPr>
      </w:pPr>
      <w:r>
        <w:rPr>
          <w:rFonts w:ascii="Calibri" w:hAnsi="Calibri"/>
        </w:rPr>
        <w:t>If it turns out that God exists, the wager assumes that believers will receive an infinite reward in the afterlife for so believing whereas non-believers will receive an infinite punishment.  If it turns out that God does not exist, believers are no worse off than non-believers</w:t>
      </w:r>
      <w:r w:rsidR="00CC26F7">
        <w:rPr>
          <w:rFonts w:ascii="Calibri" w:hAnsi="Calibri"/>
        </w:rPr>
        <w:t xml:space="preserve"> and vice-versa</w:t>
      </w:r>
      <w:r>
        <w:rPr>
          <w:rFonts w:ascii="Calibri" w:hAnsi="Calibri"/>
        </w:rPr>
        <w:t>.</w:t>
      </w:r>
      <w:r w:rsidR="007E4046">
        <w:rPr>
          <w:rFonts w:ascii="Calibri" w:hAnsi="Calibri"/>
        </w:rPr>
        <w:t xml:space="preserve">  It’s a wash.</w:t>
      </w:r>
      <w:r w:rsidR="002024B5">
        <w:rPr>
          <w:rFonts w:ascii="Calibri" w:hAnsi="Calibri"/>
        </w:rPr>
        <w:t xml:space="preserve">  This is because Pascal, and most of his contemporary defenders, assume that the goals of believers and non-believers are secured roughly equally on the </w:t>
      </w:r>
      <w:r w:rsidR="00CD4922">
        <w:rPr>
          <w:rFonts w:ascii="Calibri" w:hAnsi="Calibri"/>
        </w:rPr>
        <w:t xml:space="preserve">assumption that there is no God.  </w:t>
      </w:r>
      <w:r w:rsidR="002024B5">
        <w:rPr>
          <w:rFonts w:ascii="Calibri" w:hAnsi="Calibri"/>
        </w:rPr>
        <w:t>In other words, the real benefits to believing in God come only after our death.</w:t>
      </w:r>
      <w:r w:rsidR="00CD4922">
        <w:rPr>
          <w:rFonts w:ascii="Calibri" w:hAnsi="Calibri"/>
        </w:rPr>
        <w:t xml:space="preserve">  (This is the assumption that will be challenged in the next section.)  </w:t>
      </w:r>
      <w:r w:rsidR="002024B5">
        <w:rPr>
          <w:rFonts w:ascii="Calibri" w:hAnsi="Calibri"/>
        </w:rPr>
        <w:t>The conclusion of the argument is that s</w:t>
      </w:r>
      <w:r w:rsidR="00322DCA">
        <w:rPr>
          <w:rFonts w:ascii="Calibri" w:hAnsi="Calibri"/>
        </w:rPr>
        <w:t xml:space="preserve">ince most people have a goal of receiving </w:t>
      </w:r>
      <w:r w:rsidR="007E4046">
        <w:rPr>
          <w:rFonts w:ascii="Calibri" w:hAnsi="Calibri"/>
        </w:rPr>
        <w:t>benefits</w:t>
      </w:r>
      <w:r w:rsidR="00322DCA">
        <w:rPr>
          <w:rFonts w:ascii="Calibri" w:hAnsi="Calibri"/>
        </w:rPr>
        <w:t xml:space="preserve"> and avoiding </w:t>
      </w:r>
      <w:r w:rsidR="007E4046">
        <w:rPr>
          <w:rFonts w:ascii="Calibri" w:hAnsi="Calibri"/>
        </w:rPr>
        <w:t>setbacks</w:t>
      </w:r>
      <w:r w:rsidR="00322DCA">
        <w:rPr>
          <w:rFonts w:ascii="Calibri" w:hAnsi="Calibri"/>
        </w:rPr>
        <w:t>, most people have a prudential reason to believe in God.</w:t>
      </w:r>
    </w:p>
    <w:p w14:paraId="12EE7642" w14:textId="77777777" w:rsidR="00CC26F7" w:rsidRDefault="00CC26F7" w:rsidP="00613C0C">
      <w:pPr>
        <w:spacing w:line="480" w:lineRule="auto"/>
        <w:rPr>
          <w:rFonts w:ascii="Calibri" w:hAnsi="Calibri"/>
        </w:rPr>
      </w:pPr>
      <w:r>
        <w:rPr>
          <w:rFonts w:ascii="Calibri" w:hAnsi="Calibri"/>
        </w:rPr>
        <w:lastRenderedPageBreak/>
        <w:tab/>
        <w:t>Various philosophers have argued for more nuanced versions of the wager (see Jordan 1994</w:t>
      </w:r>
      <w:r w:rsidR="006103E6">
        <w:rPr>
          <w:rFonts w:ascii="Calibri" w:hAnsi="Calibri"/>
        </w:rPr>
        <w:t xml:space="preserve"> and 2006</w:t>
      </w:r>
      <w:r>
        <w:rPr>
          <w:rFonts w:ascii="Calibri" w:hAnsi="Calibri"/>
        </w:rPr>
        <w:t xml:space="preserve">).  For example, perhaps the rewards for believing are not infinite but merely very great or perhaps there is only a finite punishment or no punishment at all for non-believers on the assumption that God exists.  But </w:t>
      </w:r>
      <w:r w:rsidR="00322DCA">
        <w:rPr>
          <w:rFonts w:ascii="Calibri" w:hAnsi="Calibri"/>
        </w:rPr>
        <w:t xml:space="preserve">the essence of the argument remains the same: the goals of believers are advanced </w:t>
      </w:r>
      <w:r w:rsidR="006103E6">
        <w:rPr>
          <w:rFonts w:ascii="Calibri" w:hAnsi="Calibri"/>
        </w:rPr>
        <w:t xml:space="preserve">in the afterlife </w:t>
      </w:r>
      <w:r w:rsidR="00322DCA">
        <w:rPr>
          <w:rFonts w:ascii="Calibri" w:hAnsi="Calibri"/>
        </w:rPr>
        <w:t>whereas the goals of non-believers are thwarted</w:t>
      </w:r>
      <w:r w:rsidR="006103E6">
        <w:rPr>
          <w:rFonts w:ascii="Calibri" w:hAnsi="Calibri"/>
        </w:rPr>
        <w:t xml:space="preserve"> in the afterlife</w:t>
      </w:r>
      <w:r w:rsidR="00322DCA">
        <w:rPr>
          <w:rFonts w:ascii="Calibri" w:hAnsi="Calibri"/>
        </w:rPr>
        <w:t>.</w:t>
      </w:r>
    </w:p>
    <w:p w14:paraId="613B8A21" w14:textId="77777777" w:rsidR="00925119" w:rsidRDefault="00925119" w:rsidP="00613C0C">
      <w:pPr>
        <w:spacing w:line="480" w:lineRule="auto"/>
        <w:rPr>
          <w:rFonts w:ascii="Calibri" w:hAnsi="Calibri"/>
        </w:rPr>
      </w:pPr>
      <w:r>
        <w:rPr>
          <w:rFonts w:ascii="Calibri" w:hAnsi="Calibri"/>
        </w:rPr>
        <w:tab/>
        <w:t xml:space="preserve">There are many objections to Pascal’s Wager.  Aside from a few technical objections, the </w:t>
      </w:r>
      <w:r w:rsidR="007D1B56">
        <w:rPr>
          <w:rFonts w:ascii="Calibri" w:hAnsi="Calibri"/>
        </w:rPr>
        <w:t>most damning objections are all a</w:t>
      </w:r>
      <w:r w:rsidR="00AB2FE5">
        <w:rPr>
          <w:rFonts w:ascii="Calibri" w:hAnsi="Calibri"/>
        </w:rPr>
        <w:t>imed at the expected outcomes assumed by</w:t>
      </w:r>
      <w:r w:rsidR="007D1B56">
        <w:rPr>
          <w:rFonts w:ascii="Calibri" w:hAnsi="Calibri"/>
        </w:rPr>
        <w:t xml:space="preserve"> the utility calculus.  </w:t>
      </w:r>
      <w:r w:rsidR="00E060CC">
        <w:rPr>
          <w:rFonts w:ascii="Calibri" w:hAnsi="Calibri"/>
        </w:rPr>
        <w:t xml:space="preserve">How can we know that </w:t>
      </w:r>
      <w:r w:rsidR="00E060CC" w:rsidRPr="00E060CC">
        <w:rPr>
          <w:rFonts w:ascii="Calibri" w:hAnsi="Calibri"/>
          <w:i/>
        </w:rPr>
        <w:t>only</w:t>
      </w:r>
      <w:r w:rsidR="00E060CC">
        <w:rPr>
          <w:rFonts w:ascii="Calibri" w:hAnsi="Calibri"/>
        </w:rPr>
        <w:t xml:space="preserve"> those who believe in God will receive the goods available in the afterlife?  The wager provides no evidence whatsoever for the crucial value assignments.  There are many, many other options.  Perhaps God provides all people with an equally good afterlife.  Perhaps all people are annihilated at death</w:t>
      </w:r>
      <w:r w:rsidR="00AB2FE5">
        <w:rPr>
          <w:rFonts w:ascii="Calibri" w:hAnsi="Calibri"/>
        </w:rPr>
        <w:t>,</w:t>
      </w:r>
      <w:r w:rsidR="00E060CC">
        <w:rPr>
          <w:rFonts w:ascii="Calibri" w:hAnsi="Calibri"/>
        </w:rPr>
        <w:t xml:space="preserve"> and there is no afterlife.  Perhaps God provides morally good people with a good afterlife and morally bad people with a bad afterlife regardless of whether they believe in him.  Perhaps God punishes those who believe in him for selfish gain but rewards those who believe in him for </w:t>
      </w:r>
      <w:r w:rsidR="007F7478">
        <w:rPr>
          <w:rFonts w:ascii="Calibri" w:hAnsi="Calibri"/>
        </w:rPr>
        <w:t>more genuine</w:t>
      </w:r>
      <w:r w:rsidR="00E060CC">
        <w:rPr>
          <w:rFonts w:ascii="Calibri" w:hAnsi="Calibri"/>
        </w:rPr>
        <w:t xml:space="preserve"> reasons. </w:t>
      </w:r>
      <w:r w:rsidR="006103E6">
        <w:rPr>
          <w:rFonts w:ascii="Calibri" w:hAnsi="Calibri"/>
        </w:rPr>
        <w:t xml:space="preserve"> It seems that </w:t>
      </w:r>
      <w:r w:rsidR="007F7478">
        <w:rPr>
          <w:rFonts w:ascii="Calibri" w:hAnsi="Calibri"/>
        </w:rPr>
        <w:t xml:space="preserve">only those who already believe in God could have any reason to make the value assignments Pascal suggests.  In other words, to have good reason to think that the value assignments are actual, </w:t>
      </w:r>
      <w:r w:rsidR="006103E6">
        <w:rPr>
          <w:rFonts w:ascii="Calibri" w:hAnsi="Calibri"/>
        </w:rPr>
        <w:t xml:space="preserve">one would have to rely on divine revelation, religious experience, etc.  But if you already believe in divine revelation, there is obviously no point in constructing a prudential argument for the existence of </w:t>
      </w:r>
      <w:r w:rsidR="007F7478">
        <w:rPr>
          <w:rFonts w:ascii="Calibri" w:hAnsi="Calibri"/>
        </w:rPr>
        <w:t>God!</w:t>
      </w:r>
    </w:p>
    <w:p w14:paraId="442F111E" w14:textId="77777777" w:rsidR="00AC54CA" w:rsidRDefault="00AC54CA" w:rsidP="00613C0C">
      <w:pPr>
        <w:spacing w:line="480" w:lineRule="auto"/>
        <w:rPr>
          <w:rFonts w:ascii="Calibri" w:hAnsi="Calibri"/>
        </w:rPr>
      </w:pPr>
      <w:r>
        <w:rPr>
          <w:rFonts w:ascii="Calibri" w:hAnsi="Calibri"/>
        </w:rPr>
        <w:tab/>
        <w:t>The defender of P</w:t>
      </w:r>
      <w:r w:rsidR="007F7478">
        <w:rPr>
          <w:rFonts w:ascii="Calibri" w:hAnsi="Calibri"/>
        </w:rPr>
        <w:t xml:space="preserve">ascal’s Wager might retreat.  Even if we can’t show that the value assignments are </w:t>
      </w:r>
      <w:r w:rsidR="007F7478" w:rsidRPr="007F7478">
        <w:rPr>
          <w:rFonts w:ascii="Calibri" w:hAnsi="Calibri"/>
          <w:i/>
        </w:rPr>
        <w:t>actual</w:t>
      </w:r>
      <w:r w:rsidR="007F7478">
        <w:rPr>
          <w:rFonts w:ascii="Calibri" w:hAnsi="Calibri"/>
        </w:rPr>
        <w:t>, it</w:t>
      </w:r>
      <w:r>
        <w:rPr>
          <w:rFonts w:ascii="Calibri" w:hAnsi="Calibri"/>
        </w:rPr>
        <w:t xml:space="preserve"> is clearly </w:t>
      </w:r>
      <w:r w:rsidRPr="00AC54CA">
        <w:rPr>
          <w:rFonts w:ascii="Calibri" w:hAnsi="Calibri"/>
          <w:i/>
        </w:rPr>
        <w:t>possible</w:t>
      </w:r>
      <w:r>
        <w:rPr>
          <w:rFonts w:ascii="Calibri" w:hAnsi="Calibri"/>
        </w:rPr>
        <w:t xml:space="preserve"> </w:t>
      </w:r>
      <w:r w:rsidR="00061445">
        <w:rPr>
          <w:rFonts w:ascii="Calibri" w:hAnsi="Calibri"/>
        </w:rPr>
        <w:t xml:space="preserve">(in the epistemic sense) </w:t>
      </w:r>
      <w:r>
        <w:rPr>
          <w:rFonts w:ascii="Calibri" w:hAnsi="Calibri"/>
        </w:rPr>
        <w:t>that God exists and is as described by 17</w:t>
      </w:r>
      <w:r w:rsidRPr="00AC54CA">
        <w:rPr>
          <w:rFonts w:ascii="Calibri" w:hAnsi="Calibri"/>
          <w:vertAlign w:val="superscript"/>
        </w:rPr>
        <w:t>th</w:t>
      </w:r>
      <w:r>
        <w:rPr>
          <w:rFonts w:ascii="Calibri" w:hAnsi="Calibri"/>
        </w:rPr>
        <w:t xml:space="preserve"> century Christians.  </w:t>
      </w:r>
      <w:r w:rsidR="007F7478">
        <w:rPr>
          <w:rFonts w:ascii="Calibri" w:hAnsi="Calibri"/>
        </w:rPr>
        <w:t>And under this assumption</w:t>
      </w:r>
      <w:r>
        <w:rPr>
          <w:rFonts w:ascii="Calibri" w:hAnsi="Calibri"/>
        </w:rPr>
        <w:t>, it would be true that God would reward only believers while damning all non-believers.  But this retreat to what is possible rather than what is actual opens the wager up to a new, more devastating objection known as the Many-Gods Objection.</w:t>
      </w:r>
      <w:r w:rsidR="009F024D">
        <w:rPr>
          <w:rFonts w:ascii="Calibri" w:hAnsi="Calibri"/>
        </w:rPr>
        <w:t xml:space="preserve">  Even though we should grant that it is possible that God exists and is as described by 17</w:t>
      </w:r>
      <w:r w:rsidR="009F024D" w:rsidRPr="009F024D">
        <w:rPr>
          <w:rFonts w:ascii="Calibri" w:hAnsi="Calibri"/>
          <w:vertAlign w:val="superscript"/>
        </w:rPr>
        <w:t>th</w:t>
      </w:r>
      <w:r w:rsidR="009F024D">
        <w:rPr>
          <w:rFonts w:ascii="Calibri" w:hAnsi="Calibri"/>
        </w:rPr>
        <w:t xml:space="preserve"> century Christians, it is also </w:t>
      </w:r>
      <w:r w:rsidR="009F024D">
        <w:rPr>
          <w:rFonts w:ascii="Calibri" w:hAnsi="Calibri"/>
        </w:rPr>
        <w:lastRenderedPageBreak/>
        <w:t xml:space="preserve">possible </w:t>
      </w:r>
      <w:r w:rsidR="007F7478">
        <w:rPr>
          <w:rFonts w:ascii="Calibri" w:hAnsi="Calibri"/>
        </w:rPr>
        <w:t xml:space="preserve">(in the epistemic sense) </w:t>
      </w:r>
      <w:r w:rsidR="009F024D">
        <w:rPr>
          <w:rFonts w:ascii="Calibri" w:hAnsi="Calibri"/>
        </w:rPr>
        <w:t xml:space="preserve">that God exists and is as described by </w:t>
      </w:r>
      <w:proofErr w:type="gramStart"/>
      <w:r w:rsidR="009F024D">
        <w:rPr>
          <w:rFonts w:ascii="Calibri" w:hAnsi="Calibri"/>
        </w:rPr>
        <w:t>universalists</w:t>
      </w:r>
      <w:proofErr w:type="gramEnd"/>
      <w:r w:rsidR="009F024D">
        <w:rPr>
          <w:rFonts w:ascii="Calibri" w:hAnsi="Calibri"/>
        </w:rPr>
        <w:t xml:space="preserve"> (those Christians who think that God provides all people with an equally good afterlife).  Furthermore, it is possible that some demi-god exist who punishes people who believe in God and rewards people who disbelieve in God.  And so on, </w:t>
      </w:r>
      <w:r w:rsidR="009F024D" w:rsidRPr="009F024D">
        <w:rPr>
          <w:rFonts w:ascii="Calibri" w:hAnsi="Calibri"/>
          <w:i/>
        </w:rPr>
        <w:t>ad infinitum</w:t>
      </w:r>
      <w:r w:rsidR="009F024D">
        <w:rPr>
          <w:rFonts w:ascii="Calibri" w:hAnsi="Calibri"/>
        </w:rPr>
        <w:t>.</w:t>
      </w:r>
    </w:p>
    <w:p w14:paraId="5CB092C6" w14:textId="77777777" w:rsidR="00E060CC" w:rsidRDefault="00E060CC" w:rsidP="00613C0C">
      <w:pPr>
        <w:spacing w:line="480" w:lineRule="auto"/>
        <w:rPr>
          <w:rFonts w:ascii="Calibri" w:hAnsi="Calibri"/>
        </w:rPr>
      </w:pPr>
      <w:r>
        <w:rPr>
          <w:rFonts w:ascii="Calibri" w:hAnsi="Calibri"/>
        </w:rPr>
        <w:tab/>
        <w:t xml:space="preserve">The gist is that Pascal’s Wager succeeds only if </w:t>
      </w:r>
      <w:r w:rsidR="009F024D">
        <w:rPr>
          <w:rFonts w:ascii="Calibri" w:hAnsi="Calibri"/>
        </w:rPr>
        <w:t xml:space="preserve">there is good reason to think that </w:t>
      </w:r>
      <w:r>
        <w:rPr>
          <w:rFonts w:ascii="Calibri" w:hAnsi="Calibri"/>
        </w:rPr>
        <w:t>the value outcomes</w:t>
      </w:r>
      <w:r w:rsidR="002024B5">
        <w:rPr>
          <w:rFonts w:ascii="Calibri" w:hAnsi="Calibri"/>
        </w:rPr>
        <w:t xml:space="preserve"> in the utility calculus</w:t>
      </w:r>
      <w:r>
        <w:rPr>
          <w:rFonts w:ascii="Calibri" w:hAnsi="Calibri"/>
        </w:rPr>
        <w:t xml:space="preserve"> </w:t>
      </w:r>
      <w:r w:rsidR="009F024D">
        <w:rPr>
          <w:rFonts w:ascii="Calibri" w:hAnsi="Calibri"/>
        </w:rPr>
        <w:t xml:space="preserve">are </w:t>
      </w:r>
      <w:r w:rsidR="009F024D" w:rsidRPr="009F024D">
        <w:rPr>
          <w:rFonts w:ascii="Calibri" w:hAnsi="Calibri"/>
          <w:i/>
        </w:rPr>
        <w:t>actual</w:t>
      </w:r>
      <w:r w:rsidR="009F024D">
        <w:rPr>
          <w:rFonts w:ascii="Calibri" w:hAnsi="Calibri"/>
        </w:rPr>
        <w:t xml:space="preserve"> outcomes and not merely </w:t>
      </w:r>
      <w:r w:rsidR="009F024D" w:rsidRPr="009F024D">
        <w:rPr>
          <w:rFonts w:ascii="Calibri" w:hAnsi="Calibri"/>
          <w:i/>
        </w:rPr>
        <w:t>possible</w:t>
      </w:r>
      <w:r w:rsidR="009F024D">
        <w:rPr>
          <w:rFonts w:ascii="Calibri" w:hAnsi="Calibri"/>
        </w:rPr>
        <w:t xml:space="preserve"> outcomes.</w:t>
      </w:r>
      <w:r>
        <w:rPr>
          <w:rFonts w:ascii="Calibri" w:hAnsi="Calibri"/>
        </w:rPr>
        <w:t xml:space="preserve">  </w:t>
      </w:r>
      <w:r w:rsidR="002024B5">
        <w:rPr>
          <w:rFonts w:ascii="Calibri" w:hAnsi="Calibri"/>
        </w:rPr>
        <w:t>But since the value outcomes are based solely on what happens in the afterlife, these outcomes are almost impossible to defend</w:t>
      </w:r>
      <w:r w:rsidR="007F7478">
        <w:rPr>
          <w:rFonts w:ascii="Calibri" w:hAnsi="Calibri"/>
        </w:rPr>
        <w:t xml:space="preserve"> without recourse to resources available to theists</w:t>
      </w:r>
      <w:r w:rsidR="002024B5">
        <w:rPr>
          <w:rFonts w:ascii="Calibri" w:hAnsi="Calibri"/>
        </w:rPr>
        <w:t>.  We are simply not in a strong epistemic position to determine what happens to us when we die.  Pascal’s Wager relies on assumptions that we are not entitled to make and hence is a failure.</w:t>
      </w:r>
    </w:p>
    <w:p w14:paraId="7CFB9ED3" w14:textId="77777777" w:rsidR="007F7478" w:rsidRPr="004525F3" w:rsidRDefault="007F7478" w:rsidP="00613C0C">
      <w:pPr>
        <w:spacing w:line="480" w:lineRule="auto"/>
        <w:rPr>
          <w:rFonts w:ascii="Calibri" w:hAnsi="Calibri"/>
        </w:rPr>
      </w:pPr>
      <w:r>
        <w:rPr>
          <w:rFonts w:ascii="Calibri" w:hAnsi="Calibri"/>
        </w:rPr>
        <w:tab/>
        <w:t xml:space="preserve">Some will not find the foregoing dismissal of Pascal’s Wager convincing.  Very well.  While the conclusion of the next section is more important </w:t>
      </w:r>
      <w:r w:rsidR="003508E0">
        <w:rPr>
          <w:rFonts w:ascii="Calibri" w:hAnsi="Calibri"/>
        </w:rPr>
        <w:t>on the assumption that</w:t>
      </w:r>
      <w:r>
        <w:rPr>
          <w:rFonts w:ascii="Calibri" w:hAnsi="Calibri"/>
        </w:rPr>
        <w:t xml:space="preserve"> Pascal’s Wager fails, it does not require </w:t>
      </w:r>
      <w:r w:rsidR="003508E0">
        <w:rPr>
          <w:rFonts w:ascii="Calibri" w:hAnsi="Calibri"/>
        </w:rPr>
        <w:t>it</w:t>
      </w:r>
      <w:r>
        <w:rPr>
          <w:rFonts w:ascii="Calibri" w:hAnsi="Calibri"/>
        </w:rPr>
        <w:t>.  The thesis of this paper is that we have a reason to believe in God independent of whether Pascal’s Wager fails.</w:t>
      </w:r>
      <w:r w:rsidR="003508E0">
        <w:rPr>
          <w:rFonts w:ascii="Calibri" w:hAnsi="Calibri"/>
        </w:rPr>
        <w:t xml:space="preserve">  Defenders of Pascal’s Wager can accept the next argument as a supplement to Pascal rather than a replacement.</w:t>
      </w:r>
    </w:p>
    <w:p w14:paraId="5C09103E" w14:textId="77777777" w:rsidR="00E96324" w:rsidRPr="00E96324" w:rsidRDefault="00E96324">
      <w:pPr>
        <w:rPr>
          <w:b/>
        </w:rPr>
      </w:pPr>
      <w:r w:rsidRPr="00E96324">
        <w:rPr>
          <w:b/>
        </w:rPr>
        <w:t>3. The Wager Renewed</w:t>
      </w:r>
    </w:p>
    <w:p w14:paraId="62C103A5" w14:textId="77777777" w:rsidR="00E96324" w:rsidRDefault="002024B5" w:rsidP="002024B5">
      <w:pPr>
        <w:spacing w:line="480" w:lineRule="auto"/>
      </w:pPr>
      <w:r>
        <w:t>The weakness of Pascal’s Wager is that it makes assumptions that are not justifiable.  This is because the goods to be secured and the evils to be avoide</w:t>
      </w:r>
      <w:r w:rsidR="00D8393C">
        <w:t>d occur solely in the afterlife, and we have no strong evidence to suggest that theists do better in the afterlife than non-theists.  However,</w:t>
      </w:r>
      <w:r w:rsidR="00823CBB">
        <w:t xml:space="preserve"> not all</w:t>
      </w:r>
      <w:r w:rsidR="00D8393C">
        <w:t xml:space="preserve"> wager-type</w:t>
      </w:r>
      <w:r w:rsidR="00FE39C5">
        <w:t xml:space="preserve"> arguments</w:t>
      </w:r>
      <w:r w:rsidR="00D8393C">
        <w:t xml:space="preserve"> </w:t>
      </w:r>
      <w:r w:rsidR="00823CBB">
        <w:t>must share this defect</w:t>
      </w:r>
      <w:r w:rsidR="00D8393C">
        <w:t xml:space="preserve">.  If there were any kind of evidence that suggests that theists do better than non-theists in </w:t>
      </w:r>
      <w:r w:rsidR="00D8393C" w:rsidRPr="00FE39C5">
        <w:rPr>
          <w:i/>
        </w:rPr>
        <w:t>this</w:t>
      </w:r>
      <w:r w:rsidR="00D8393C">
        <w:t xml:space="preserve"> </w:t>
      </w:r>
      <w:r w:rsidR="00823CBB">
        <w:t>life, that</w:t>
      </w:r>
      <w:r w:rsidR="00D8393C">
        <w:t xml:space="preserve"> </w:t>
      </w:r>
      <w:r w:rsidR="003508E0">
        <w:t xml:space="preserve">evidence </w:t>
      </w:r>
      <w:r w:rsidR="00D8393C">
        <w:t>would provide the material for a renewed wager.  This section presents just such a case.</w:t>
      </w:r>
    </w:p>
    <w:p w14:paraId="21B5CB14" w14:textId="77777777" w:rsidR="00823CBB" w:rsidRDefault="00823CBB" w:rsidP="00823CBB">
      <w:pPr>
        <w:spacing w:line="480" w:lineRule="auto"/>
        <w:rPr>
          <w:rFonts w:ascii="Calibri" w:hAnsi="Calibri"/>
        </w:rPr>
      </w:pPr>
      <w:r>
        <w:lastRenderedPageBreak/>
        <w:tab/>
        <w:t xml:space="preserve">Like Pascal’s, the renewed wager assumes only two possibilities when it comes to belief in God: either one believes that God exists or one does not.  Furthermore, the renewed wager grants that God either exists or does not.  So the rows and columns are the same as the classic form of Pascal’s Wager.  However, the outcomes are very different.  Whereas Pascal’s Wager makes assumptions about the rewards and punishments due to believers and non-believers in the afterlife, the renewed wager is </w:t>
      </w:r>
      <w:r w:rsidR="00414C07">
        <w:t>agnostic on this issue.  Perhaps believers will secure certain goods in the afterlife on the assumption that God exists, but perhaps not</w:t>
      </w:r>
      <w:r>
        <w:t xml:space="preserve">.  Instead, the renewed wager posits only goods for which there is evidence, namely </w:t>
      </w:r>
      <w:r w:rsidR="00414C07">
        <w:t xml:space="preserve">those </w:t>
      </w:r>
      <w:r>
        <w:t xml:space="preserve">goods that can be </w:t>
      </w:r>
      <w:r w:rsidR="00414C07">
        <w:t xml:space="preserve">catalogued and tracked in the present life.  Call these ‘present-life goods’.  </w:t>
      </w:r>
      <w:r w:rsidR="00FE39C5">
        <w:t xml:space="preserve">So, in essence, the utility calculus of Pascal’s Wager is reversed: it is the existence of God that is yields either a wash or an inscrutable value assignment.  If God does not exist and there is no afterlife, then the case is clearly in the benefit of the believers.  </w:t>
      </w:r>
      <w:r w:rsidR="00414C07">
        <w:t>The renewed wager looks like this:</w:t>
      </w:r>
    </w:p>
    <w:tbl>
      <w:tblPr>
        <w:tblStyle w:val="TableGrid"/>
        <w:tblW w:w="0" w:type="auto"/>
        <w:tblLook w:val="04A0" w:firstRow="1" w:lastRow="0" w:firstColumn="1" w:lastColumn="0" w:noHBand="0" w:noVBand="1"/>
      </w:tblPr>
      <w:tblGrid>
        <w:gridCol w:w="2965"/>
        <w:gridCol w:w="3510"/>
        <w:gridCol w:w="2875"/>
      </w:tblGrid>
      <w:tr w:rsidR="00823CBB" w14:paraId="6325CC04" w14:textId="77777777" w:rsidTr="00985E0A">
        <w:tc>
          <w:tcPr>
            <w:tcW w:w="2965" w:type="dxa"/>
            <w:vAlign w:val="center"/>
          </w:tcPr>
          <w:p w14:paraId="563C7496" w14:textId="77777777" w:rsidR="00823CBB" w:rsidRDefault="00823CBB" w:rsidP="00985E0A">
            <w:pPr>
              <w:spacing w:line="480" w:lineRule="auto"/>
              <w:jc w:val="center"/>
              <w:rPr>
                <w:rFonts w:ascii="Calibri" w:hAnsi="Calibri"/>
              </w:rPr>
            </w:pPr>
          </w:p>
        </w:tc>
        <w:tc>
          <w:tcPr>
            <w:tcW w:w="3510" w:type="dxa"/>
            <w:vAlign w:val="center"/>
          </w:tcPr>
          <w:p w14:paraId="685192C7" w14:textId="77777777" w:rsidR="00823CBB" w:rsidRDefault="00823CBB" w:rsidP="00985E0A">
            <w:pPr>
              <w:spacing w:line="480" w:lineRule="auto"/>
              <w:jc w:val="center"/>
              <w:rPr>
                <w:rFonts w:ascii="Calibri" w:hAnsi="Calibri"/>
              </w:rPr>
            </w:pPr>
            <w:r>
              <w:rPr>
                <w:rFonts w:ascii="Calibri" w:hAnsi="Calibri"/>
              </w:rPr>
              <w:t>God exists</w:t>
            </w:r>
          </w:p>
        </w:tc>
        <w:tc>
          <w:tcPr>
            <w:tcW w:w="2875" w:type="dxa"/>
            <w:vAlign w:val="center"/>
          </w:tcPr>
          <w:p w14:paraId="1C78D8E7" w14:textId="77777777" w:rsidR="00823CBB" w:rsidRDefault="00823CBB" w:rsidP="00985E0A">
            <w:pPr>
              <w:spacing w:line="480" w:lineRule="auto"/>
              <w:jc w:val="center"/>
              <w:rPr>
                <w:rFonts w:ascii="Calibri" w:hAnsi="Calibri"/>
              </w:rPr>
            </w:pPr>
            <w:r>
              <w:rPr>
                <w:rFonts w:ascii="Calibri" w:hAnsi="Calibri"/>
              </w:rPr>
              <w:t>God does not exist</w:t>
            </w:r>
          </w:p>
        </w:tc>
      </w:tr>
      <w:tr w:rsidR="00823CBB" w14:paraId="0552CF13" w14:textId="77777777" w:rsidTr="00985E0A">
        <w:tc>
          <w:tcPr>
            <w:tcW w:w="2965" w:type="dxa"/>
            <w:vAlign w:val="center"/>
          </w:tcPr>
          <w:p w14:paraId="3C1094D6" w14:textId="77777777" w:rsidR="00823CBB" w:rsidRDefault="00823CBB" w:rsidP="00985E0A">
            <w:pPr>
              <w:spacing w:line="480" w:lineRule="auto"/>
              <w:jc w:val="center"/>
              <w:rPr>
                <w:rFonts w:ascii="Calibri" w:hAnsi="Calibri"/>
              </w:rPr>
            </w:pPr>
            <w:r>
              <w:rPr>
                <w:rFonts w:ascii="Calibri" w:hAnsi="Calibri"/>
              </w:rPr>
              <w:t>Believe that God exists</w:t>
            </w:r>
          </w:p>
        </w:tc>
        <w:tc>
          <w:tcPr>
            <w:tcW w:w="3510" w:type="dxa"/>
            <w:vAlign w:val="center"/>
          </w:tcPr>
          <w:p w14:paraId="632AB859" w14:textId="77777777" w:rsidR="00823CBB" w:rsidRDefault="00985E0A" w:rsidP="00985E0A">
            <w:pPr>
              <w:spacing w:line="480" w:lineRule="auto"/>
              <w:jc w:val="center"/>
              <w:rPr>
                <w:rFonts w:ascii="Calibri" w:hAnsi="Calibri"/>
              </w:rPr>
            </w:pPr>
            <w:r>
              <w:rPr>
                <w:rFonts w:ascii="Calibri" w:hAnsi="Calibri"/>
              </w:rPr>
              <w:t>Gain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14:paraId="78EF09AB" w14:textId="77777777" w:rsidR="00823CBB" w:rsidRDefault="00985E0A" w:rsidP="00985E0A">
            <w:pPr>
              <w:spacing w:line="480" w:lineRule="auto"/>
              <w:jc w:val="center"/>
              <w:rPr>
                <w:rFonts w:ascii="Calibri" w:hAnsi="Calibri"/>
              </w:rPr>
            </w:pPr>
            <w:r>
              <w:rPr>
                <w:rFonts w:ascii="Calibri" w:hAnsi="Calibri"/>
              </w:rPr>
              <w:t>Gain of</w:t>
            </w:r>
            <w:r w:rsidR="00414C07">
              <w:rPr>
                <w:rFonts w:ascii="Calibri" w:hAnsi="Calibri"/>
              </w:rPr>
              <w:t xml:space="preserve"> present-life goods</w:t>
            </w:r>
          </w:p>
        </w:tc>
      </w:tr>
      <w:tr w:rsidR="00823CBB" w14:paraId="4524B059" w14:textId="77777777" w:rsidTr="00985E0A">
        <w:tc>
          <w:tcPr>
            <w:tcW w:w="2965" w:type="dxa"/>
            <w:vAlign w:val="center"/>
          </w:tcPr>
          <w:p w14:paraId="54DEB962" w14:textId="77777777" w:rsidR="00823CBB" w:rsidRDefault="00823CBB" w:rsidP="00985E0A">
            <w:pPr>
              <w:spacing w:line="480" w:lineRule="auto"/>
              <w:jc w:val="center"/>
              <w:rPr>
                <w:rFonts w:ascii="Calibri" w:hAnsi="Calibri"/>
              </w:rPr>
            </w:pPr>
            <w:r>
              <w:rPr>
                <w:rFonts w:ascii="Calibri" w:hAnsi="Calibri"/>
              </w:rPr>
              <w:t>Do not believe that God exists</w:t>
            </w:r>
          </w:p>
        </w:tc>
        <w:tc>
          <w:tcPr>
            <w:tcW w:w="3510" w:type="dxa"/>
            <w:vAlign w:val="center"/>
          </w:tcPr>
          <w:p w14:paraId="7F7AC841" w14:textId="77777777" w:rsidR="00823CBB" w:rsidRDefault="00985E0A" w:rsidP="00985E0A">
            <w:pPr>
              <w:spacing w:line="480" w:lineRule="auto"/>
              <w:jc w:val="center"/>
              <w:rPr>
                <w:rFonts w:ascii="Calibri" w:hAnsi="Calibri"/>
              </w:rPr>
            </w:pPr>
            <w:r>
              <w:rPr>
                <w:rFonts w:ascii="Calibri" w:hAnsi="Calibri"/>
              </w:rPr>
              <w:t>Loss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14:paraId="246155C8" w14:textId="77777777" w:rsidR="00823CBB" w:rsidRDefault="00985E0A" w:rsidP="00985E0A">
            <w:pPr>
              <w:spacing w:line="480" w:lineRule="auto"/>
              <w:jc w:val="center"/>
              <w:rPr>
                <w:rFonts w:ascii="Calibri" w:hAnsi="Calibri"/>
              </w:rPr>
            </w:pPr>
            <w:r>
              <w:rPr>
                <w:rFonts w:ascii="Calibri" w:hAnsi="Calibri"/>
              </w:rPr>
              <w:t>Loss of</w:t>
            </w:r>
            <w:r w:rsidR="00414C07">
              <w:rPr>
                <w:rFonts w:ascii="Calibri" w:hAnsi="Calibri"/>
              </w:rPr>
              <w:t xml:space="preserve"> present-life goods</w:t>
            </w:r>
          </w:p>
        </w:tc>
      </w:tr>
    </w:tbl>
    <w:p w14:paraId="2B8E263E" w14:textId="77777777" w:rsidR="00823CBB" w:rsidRDefault="00823CBB" w:rsidP="00823CBB">
      <w:pPr>
        <w:spacing w:line="480" w:lineRule="auto"/>
        <w:rPr>
          <w:rFonts w:ascii="Calibri" w:hAnsi="Calibri"/>
        </w:rPr>
      </w:pPr>
    </w:p>
    <w:p w14:paraId="075DDF2F" w14:textId="77777777" w:rsidR="00823CBB" w:rsidRDefault="00FE39C5" w:rsidP="00823CBB">
      <w:pPr>
        <w:spacing w:line="480" w:lineRule="auto"/>
        <w:rPr>
          <w:rFonts w:ascii="Calibri" w:hAnsi="Calibri"/>
        </w:rPr>
      </w:pPr>
      <w:r>
        <w:rPr>
          <w:rFonts w:ascii="Calibri" w:hAnsi="Calibri"/>
        </w:rPr>
        <w:t>The gist of the renewed wager is that theists do better than non-theists regardless of whether or not God exists.  And if defenders of Pascal’s Wager are correct, they will do even better in the afterlife.  But that point is not required for the renewed wager to convincingly show that we have a prudential reason to believe in God.</w:t>
      </w:r>
    </w:p>
    <w:p w14:paraId="3747CC91" w14:textId="77777777" w:rsidR="00FE39C5" w:rsidRDefault="00FE39C5" w:rsidP="00823CBB">
      <w:pPr>
        <w:spacing w:line="480" w:lineRule="auto"/>
        <w:rPr>
          <w:rFonts w:ascii="Calibri" w:hAnsi="Calibri"/>
        </w:rPr>
      </w:pPr>
      <w:r>
        <w:rPr>
          <w:rFonts w:ascii="Calibri" w:hAnsi="Calibri"/>
        </w:rPr>
        <w:tab/>
        <w:t>Like Pascal’s Wager, the renewed wager must have defensible value assignments for the utility calculus.</w:t>
      </w:r>
      <w:r w:rsidR="008472FF">
        <w:rPr>
          <w:rFonts w:ascii="Calibri" w:hAnsi="Calibri"/>
        </w:rPr>
        <w:t xml:space="preserve">  But unlike Pascal’s Wager, the renewed wager can enlist empirical data to bolster its assignments.  </w:t>
      </w:r>
      <w:r w:rsidR="009506A5">
        <w:rPr>
          <w:rFonts w:ascii="Calibri" w:hAnsi="Calibri"/>
        </w:rPr>
        <w:t xml:space="preserve">Here is a perfect example of how scientific conclusions can impact philosophical reasoning.  </w:t>
      </w:r>
      <w:r w:rsidR="008472FF">
        <w:rPr>
          <w:rFonts w:ascii="Calibri" w:hAnsi="Calibri"/>
        </w:rPr>
        <w:t xml:space="preserve">Social scientists have done interesting and wide-ranging work over the last 30 plus years on </w:t>
      </w:r>
      <w:r w:rsidR="008472FF">
        <w:rPr>
          <w:rFonts w:ascii="Calibri" w:hAnsi="Calibri"/>
        </w:rPr>
        <w:lastRenderedPageBreak/>
        <w:t>the benefits or costs association with religious belief and practice.  The emerging picture clearly indicates that believing in God often advances many of our most important life goals.</w:t>
      </w:r>
      <w:r w:rsidR="009506A5">
        <w:rPr>
          <w:rFonts w:ascii="Calibri" w:hAnsi="Calibri"/>
        </w:rPr>
        <w:t xml:space="preserve">  And if this is true, then (</w:t>
      </w:r>
      <w:r w:rsidR="009506A5" w:rsidRPr="009506A5">
        <w:rPr>
          <w:rFonts w:ascii="Calibri" w:hAnsi="Calibri"/>
          <w:i/>
        </w:rPr>
        <w:t>ceteris paribus</w:t>
      </w:r>
      <w:r w:rsidR="009506A5">
        <w:rPr>
          <w:rFonts w:ascii="Calibri" w:hAnsi="Calibri"/>
        </w:rPr>
        <w:t>) theists are in a better position to achieve certain present-life goods than their non-theistic counterparts.</w:t>
      </w:r>
    </w:p>
    <w:p w14:paraId="587F9CE2" w14:textId="77777777" w:rsidR="000F0D34" w:rsidRDefault="009506A5" w:rsidP="00823CBB">
      <w:pPr>
        <w:spacing w:line="480" w:lineRule="auto"/>
        <w:rPr>
          <w:rFonts w:ascii="Calibri" w:hAnsi="Calibri"/>
        </w:rPr>
      </w:pPr>
      <w:r>
        <w:rPr>
          <w:rFonts w:ascii="Calibri" w:hAnsi="Calibri"/>
        </w:rPr>
        <w:tab/>
      </w:r>
      <w:r w:rsidR="000F0D34">
        <w:rPr>
          <w:rFonts w:ascii="Calibri" w:hAnsi="Calibri"/>
        </w:rPr>
        <w:t>To make this case, I need to identify widely-held goals that are easier to meet given theism rather than non-theism.  In this case, the burden is easily met.</w:t>
      </w:r>
      <w:r w:rsidR="00E5402F">
        <w:rPr>
          <w:rFonts w:ascii="Calibri" w:hAnsi="Calibri"/>
        </w:rPr>
        <w:t xml:space="preserve">  Here are five </w:t>
      </w:r>
      <w:r w:rsidR="007569B7">
        <w:rPr>
          <w:rFonts w:ascii="Calibri" w:hAnsi="Calibri"/>
        </w:rPr>
        <w:t xml:space="preserve">important </w:t>
      </w:r>
      <w:r w:rsidR="00E5402F">
        <w:rPr>
          <w:rFonts w:ascii="Calibri" w:hAnsi="Calibri"/>
        </w:rPr>
        <w:t>goals that are easier for the religious to achieve than their secular counterparts.</w:t>
      </w:r>
    </w:p>
    <w:p w14:paraId="32B26B82" w14:textId="77777777" w:rsidR="000F0D34" w:rsidRPr="001A5116" w:rsidRDefault="00646E99" w:rsidP="00823CBB">
      <w:pPr>
        <w:spacing w:line="480" w:lineRule="auto"/>
        <w:rPr>
          <w:rFonts w:ascii="Calibri" w:hAnsi="Calibri"/>
          <w:i/>
        </w:rPr>
      </w:pPr>
      <w:r>
        <w:rPr>
          <w:rFonts w:ascii="Calibri" w:hAnsi="Calibri"/>
          <w:i/>
        </w:rPr>
        <w:t>3.1 Happiness</w:t>
      </w:r>
    </w:p>
    <w:p w14:paraId="01D3392A" w14:textId="77777777" w:rsidR="009506A5" w:rsidRDefault="000F0D34" w:rsidP="00823CBB">
      <w:pPr>
        <w:spacing w:line="480" w:lineRule="auto"/>
      </w:pPr>
      <w:r>
        <w:rPr>
          <w:rFonts w:ascii="Calibri" w:hAnsi="Calibri"/>
        </w:rPr>
        <w:t xml:space="preserve">It almost goes without saying that we want to be happy.  In this category, theists pass with flying colors.   </w:t>
      </w:r>
      <w:r w:rsidR="00A86FC0">
        <w:rPr>
          <w:rFonts w:ascii="Calibri" w:hAnsi="Calibri"/>
        </w:rPr>
        <w:t>For example,</w:t>
      </w:r>
      <w:r w:rsidR="000F77FA">
        <w:rPr>
          <w:rFonts w:ascii="Calibri" w:hAnsi="Calibri"/>
        </w:rPr>
        <w:t xml:space="preserve"> national </w:t>
      </w:r>
      <w:r w:rsidR="001519A1">
        <w:rPr>
          <w:rFonts w:ascii="Calibri" w:hAnsi="Calibri"/>
        </w:rPr>
        <w:t xml:space="preserve">Gallup </w:t>
      </w:r>
      <w:r w:rsidR="000F77FA">
        <w:rPr>
          <w:rFonts w:ascii="Calibri" w:hAnsi="Calibri"/>
        </w:rPr>
        <w:t xml:space="preserve">poll shows that </w:t>
      </w:r>
      <w:r w:rsidR="001519A1">
        <w:rPr>
          <w:rFonts w:ascii="Calibri" w:hAnsi="Calibri"/>
        </w:rPr>
        <w:t>spiritual commitment co-varies with life satisfaction:</w:t>
      </w:r>
    </w:p>
    <w:p w14:paraId="1F44B90E" w14:textId="77777777" w:rsidR="00E96324" w:rsidRDefault="001519A1" w:rsidP="001519A1">
      <w:pPr>
        <w:ind w:left="720" w:right="720"/>
      </w:pPr>
      <w:r>
        <w:t>Those in our surveys who fit our category of "highly spiritually committed" … are more satisfied with their lot in life than are those who are less spiritually committed—and far happier. A total of 68 percent of the highly spiritually committed say they are "very happy," compared to 46 percent of the moderately spiritually committed, 39 percent of the moderately uncommitted, and 30 percent of the highly uncommitted. (</w:t>
      </w:r>
      <w:r w:rsidR="009F024D">
        <w:t xml:space="preserve">Gallup 1985, p. </w:t>
      </w:r>
      <w:r>
        <w:t>169)</w:t>
      </w:r>
    </w:p>
    <w:p w14:paraId="2A7C1BCA" w14:textId="77777777" w:rsidR="00411171" w:rsidRDefault="001519A1" w:rsidP="001519A1">
      <w:pPr>
        <w:spacing w:line="480" w:lineRule="auto"/>
      </w:pPr>
      <w:r>
        <w:t>It is striking that those who are highly spiritually committed are more than twice as likely to be very happy with their lives as those who describe themselves as highly uncommitted.</w:t>
      </w:r>
      <w:r w:rsidR="00A86FC0">
        <w:t xml:space="preserve">  </w:t>
      </w:r>
      <w:r w:rsidR="00626CC8">
        <w:t xml:space="preserve">The correlation between religion and happiness or well-being is not confined to this single study but is quite robust.  A meta-analysis of over 100 such studies concludes that more than 80% of the studies </w:t>
      </w:r>
      <w:r w:rsidR="0096117C">
        <w:t>indicate a positive correlation between religion and well-being (Koenig 1998)</w:t>
      </w:r>
      <w:r w:rsidR="00F3535B">
        <w:t>.</w:t>
      </w:r>
    </w:p>
    <w:p w14:paraId="7642ECB8" w14:textId="77777777" w:rsidR="001519A1" w:rsidRDefault="00A86FC0" w:rsidP="00411171">
      <w:pPr>
        <w:spacing w:line="480" w:lineRule="auto"/>
        <w:ind w:firstLine="720"/>
      </w:pPr>
      <w:r w:rsidRPr="00B9234E">
        <w:t>While</w:t>
      </w:r>
      <w:r>
        <w:t xml:space="preserve"> there are various competing explanations for this increase in happiness, one wide-ranging empirical study of religion </w:t>
      </w:r>
      <w:r w:rsidR="00411171">
        <w:t>notes</w:t>
      </w:r>
      <w:r>
        <w:t xml:space="preserve"> that “…to the extent that religion is an intrinsic end in itself, it is likely to be perceived as an important source of personal freedom.  It is a joy; it provides freedom from existential doubt and fear</w:t>
      </w:r>
      <w:r w:rsidR="00411171">
        <w:t>,” (Batso</w:t>
      </w:r>
      <w:r w:rsidR="004B2155">
        <w:t>n</w:t>
      </w:r>
      <w:r w:rsidR="00411171">
        <w:t xml:space="preserve">, </w:t>
      </w:r>
      <w:proofErr w:type="spellStart"/>
      <w:r w:rsidR="00411171">
        <w:t>Schoenrade</w:t>
      </w:r>
      <w:proofErr w:type="spellEnd"/>
      <w:r w:rsidR="00411171">
        <w:t xml:space="preserve">, and </w:t>
      </w:r>
      <w:proofErr w:type="spellStart"/>
      <w:r w:rsidR="00411171">
        <w:t>Ventis</w:t>
      </w:r>
      <w:proofErr w:type="spellEnd"/>
      <w:r w:rsidR="00411171">
        <w:t xml:space="preserve"> 1993, p. 224).  In fact, the authors go </w:t>
      </w:r>
      <w:r w:rsidR="00411171">
        <w:lastRenderedPageBreak/>
        <w:t xml:space="preserve">further to conclude that </w:t>
      </w:r>
      <w:r>
        <w:t>“religion can provide a new vision that transforms a life racked with doubt, contradiction, and despair into one of purpose, contentment and joy,” (Batso</w:t>
      </w:r>
      <w:r w:rsidR="004B2155">
        <w:t>n</w:t>
      </w:r>
      <w:r>
        <w:t xml:space="preserve">, </w:t>
      </w:r>
      <w:proofErr w:type="spellStart"/>
      <w:r>
        <w:t>Schoenrade</w:t>
      </w:r>
      <w:proofErr w:type="spellEnd"/>
      <w:r>
        <w:t xml:space="preserve">, and </w:t>
      </w:r>
      <w:proofErr w:type="spellStart"/>
      <w:r>
        <w:t>Ventis</w:t>
      </w:r>
      <w:proofErr w:type="spellEnd"/>
      <w:r>
        <w:t xml:space="preserve"> 1993, p. 371)</w:t>
      </w:r>
      <w:r w:rsidR="00646E99">
        <w:t>.</w:t>
      </w:r>
    </w:p>
    <w:p w14:paraId="008054F8" w14:textId="77777777" w:rsidR="00CC6B09" w:rsidRDefault="00CC6B09" w:rsidP="00411171">
      <w:pPr>
        <w:spacing w:line="480" w:lineRule="auto"/>
        <w:ind w:firstLine="720"/>
      </w:pPr>
      <w:r>
        <w:t xml:space="preserve">One might respond to this evidence by making the point that perceived well-being or contentment </w:t>
      </w:r>
      <w:r w:rsidR="00DC75A1">
        <w:t xml:space="preserve">or subjective happiness </w:t>
      </w:r>
      <w:r>
        <w:t xml:space="preserve">does not equate with </w:t>
      </w:r>
      <w:r w:rsidRPr="00CC6B09">
        <w:rPr>
          <w:i/>
        </w:rPr>
        <w:t>true</w:t>
      </w:r>
      <w:r>
        <w:t xml:space="preserve"> happiness which is something closer to Aristotle’s concept of </w:t>
      </w:r>
      <w:proofErr w:type="spellStart"/>
      <w:r w:rsidRPr="00CC6B09">
        <w:rPr>
          <w:i/>
        </w:rPr>
        <w:t>eudaimonia</w:t>
      </w:r>
      <w:proofErr w:type="spellEnd"/>
      <w:r>
        <w:t xml:space="preserve">.  </w:t>
      </w:r>
      <w:r w:rsidR="0036283C">
        <w:t>However,</w:t>
      </w:r>
      <w:r>
        <w:t xml:space="preserve"> even if contentment is not identical with a more robust sense of well-being, it surely counts for something.  We want to be content with our lives even if contentment is merely a necessary condition for happiness rather than a sufficient one.</w:t>
      </w:r>
    </w:p>
    <w:p w14:paraId="564866F7" w14:textId="77777777" w:rsidR="001519A1" w:rsidRPr="00ED6A80" w:rsidRDefault="001A5116" w:rsidP="001519A1">
      <w:pPr>
        <w:spacing w:line="480" w:lineRule="auto"/>
        <w:rPr>
          <w:i/>
        </w:rPr>
      </w:pPr>
      <w:r w:rsidRPr="00ED6A80">
        <w:rPr>
          <w:i/>
        </w:rPr>
        <w:t>3.2 Health</w:t>
      </w:r>
    </w:p>
    <w:p w14:paraId="32A2E667" w14:textId="77777777" w:rsidR="00ED6A80" w:rsidRDefault="000D0D78" w:rsidP="001519A1">
      <w:pPr>
        <w:spacing w:line="480" w:lineRule="auto"/>
      </w:pPr>
      <w:r>
        <w:t xml:space="preserve">The </w:t>
      </w:r>
      <w:r w:rsidR="00ED6A80">
        <w:t>February 23, 2009</w:t>
      </w:r>
      <w:r>
        <w:t xml:space="preserve"> </w:t>
      </w:r>
      <w:r w:rsidR="00ED6A80">
        <w:t>cover story</w:t>
      </w:r>
      <w:r>
        <w:t xml:space="preserve"> for </w:t>
      </w:r>
      <w:r w:rsidRPr="000D0D78">
        <w:rPr>
          <w:i/>
        </w:rPr>
        <w:t>Time Magazine</w:t>
      </w:r>
      <w:r>
        <w:t xml:space="preserve"> is entitled</w:t>
      </w:r>
      <w:r w:rsidR="00ED6A80">
        <w:t xml:space="preserve"> </w:t>
      </w:r>
      <w:r>
        <w:t>“</w:t>
      </w:r>
      <w:r w:rsidR="00ED6A80">
        <w:t xml:space="preserve">How Faith Can </w:t>
      </w:r>
      <w:proofErr w:type="gramStart"/>
      <w:r w:rsidR="00ED6A80">
        <w:t>Heal</w:t>
      </w:r>
      <w:proofErr w:type="gramEnd"/>
      <w:r>
        <w:t xml:space="preserve">.”  The fact that such a story is mainstream is indicative of the amount of research out there </w:t>
      </w:r>
      <w:r w:rsidR="0096117C">
        <w:t>supporting</w:t>
      </w:r>
      <w:r>
        <w:t xml:space="preserve"> a link between religion and health outcomes.</w:t>
      </w:r>
      <w:r w:rsidR="00ED6A80">
        <w:t xml:space="preserve"> </w:t>
      </w:r>
      <w:r w:rsidR="009D3F32">
        <w:t xml:space="preserve"> A few examples will suffice to represent this body of research.  There is a positive correlation between religious belief and favorable health outcomes such as lower rates of heart-</w:t>
      </w:r>
      <w:r w:rsidR="009D3F32" w:rsidRPr="00B7623B">
        <w:t>attacks (Koenig</w:t>
      </w:r>
      <w:r w:rsidR="00B7623B" w:rsidRPr="00B7623B">
        <w:t xml:space="preserve">, McCullough, </w:t>
      </w:r>
      <w:r w:rsidR="00B7623B">
        <w:t xml:space="preserve">and </w:t>
      </w:r>
      <w:r w:rsidR="00B7623B" w:rsidRPr="00B7623B">
        <w:t>Larson</w:t>
      </w:r>
      <w:r w:rsidR="009D3F32" w:rsidRPr="00B7623B">
        <w:t xml:space="preserve"> 2001)</w:t>
      </w:r>
      <w:r w:rsidR="009D3F32">
        <w:t xml:space="preserve"> and better coping with cancer </w:t>
      </w:r>
      <w:r w:rsidR="00B7623B">
        <w:t>(</w:t>
      </w:r>
      <w:proofErr w:type="spellStart"/>
      <w:r w:rsidR="00B7623B">
        <w:t>Laubmeier</w:t>
      </w:r>
      <w:proofErr w:type="spellEnd"/>
      <w:r w:rsidR="00B7623B">
        <w:t xml:space="preserve">, </w:t>
      </w:r>
      <w:proofErr w:type="spellStart"/>
      <w:r w:rsidR="00B7623B">
        <w:t>Zakowski</w:t>
      </w:r>
      <w:proofErr w:type="spellEnd"/>
      <w:r w:rsidR="00B7623B">
        <w:t>, and Bair 2004) and (</w:t>
      </w:r>
      <w:r w:rsidR="00925EF2">
        <w:t>Lutz</w:t>
      </w:r>
      <w:r w:rsidR="00B7623B">
        <w:t xml:space="preserve">, Kremer, and </w:t>
      </w:r>
      <w:proofErr w:type="spellStart"/>
      <w:r w:rsidR="00B7623B">
        <w:t>Ironson</w:t>
      </w:r>
      <w:proofErr w:type="spellEnd"/>
      <w:r w:rsidR="009D3F32">
        <w:t xml:space="preserve"> 2011).</w:t>
      </w:r>
    </w:p>
    <w:p w14:paraId="2E6DC61A" w14:textId="77777777" w:rsidR="002E2A83" w:rsidRPr="002E2A83" w:rsidRDefault="00D46781" w:rsidP="0096117C">
      <w:pPr>
        <w:spacing w:line="480" w:lineRule="auto"/>
        <w:ind w:firstLine="720"/>
      </w:pPr>
      <w:r>
        <w:t xml:space="preserve">Not only does religion affect our physical health, but it affect mental health as well.  </w:t>
      </w:r>
      <w:r w:rsidR="00925EF2">
        <w:t xml:space="preserve">In fact, in 2011 the </w:t>
      </w:r>
      <w:r w:rsidR="00925EF2" w:rsidRPr="00925EF2">
        <w:rPr>
          <w:i/>
        </w:rPr>
        <w:t>Journal of Behavior Medicine</w:t>
      </w:r>
      <w:r w:rsidR="00925EF2">
        <w:t xml:space="preserve"> devoted an entire issue to studies exploring this connection.  </w:t>
      </w:r>
      <w:r w:rsidR="002E2A83">
        <w:t>Numerous studies have shown that regular attendance at church services is a strong deterrent for depression (</w:t>
      </w:r>
      <w:r w:rsidR="001A6002">
        <w:t>Miller</w:t>
      </w:r>
      <w:r w:rsidR="00F3535B">
        <w:t xml:space="preserve">, Warner, </w:t>
      </w:r>
      <w:proofErr w:type="spellStart"/>
      <w:r w:rsidR="00F3535B">
        <w:t>Wickramaratne</w:t>
      </w:r>
      <w:proofErr w:type="spellEnd"/>
      <w:r w:rsidR="00F3535B">
        <w:t xml:space="preserve">, and </w:t>
      </w:r>
      <w:proofErr w:type="spellStart"/>
      <w:r w:rsidR="00F3535B">
        <w:t>Weissman</w:t>
      </w:r>
      <w:proofErr w:type="spellEnd"/>
      <w:r w:rsidR="00F3535B">
        <w:t xml:space="preserve"> 1997;</w:t>
      </w:r>
      <w:r w:rsidR="001A6002">
        <w:t xml:space="preserve"> </w:t>
      </w:r>
      <w:r w:rsidR="002E2A83">
        <w:t>Norton</w:t>
      </w:r>
      <w:r w:rsidR="00F3535B">
        <w:t>, et al.</w:t>
      </w:r>
      <w:r w:rsidR="002E2A83">
        <w:t xml:space="preserve"> 2008</w:t>
      </w:r>
      <w:r w:rsidR="00800991">
        <w:t>) as is regular time in prayer (</w:t>
      </w:r>
      <w:r w:rsidR="00925EF2" w:rsidRPr="00800991">
        <w:t>Perez</w:t>
      </w:r>
      <w:r w:rsidR="00800991">
        <w:t xml:space="preserve"> et al.</w:t>
      </w:r>
      <w:r w:rsidR="00925EF2" w:rsidRPr="00800991">
        <w:t xml:space="preserve"> 2011</w:t>
      </w:r>
      <w:r w:rsidR="002E2A83">
        <w:t xml:space="preserve">). </w:t>
      </w:r>
      <w:r w:rsidR="0017114F">
        <w:t xml:space="preserve">  In fact, when it comes to psychological health, religious activity</w:t>
      </w:r>
      <w:r w:rsidR="001A6002">
        <w:t xml:space="preserve"> is associated with lower rates of a wide-range of psychological ills </w:t>
      </w:r>
      <w:r w:rsidR="00925EF2">
        <w:t>like phobias</w:t>
      </w:r>
      <w:r w:rsidR="001A6002">
        <w:t xml:space="preserve"> (</w:t>
      </w:r>
      <w:proofErr w:type="spellStart"/>
      <w:r w:rsidR="001A6002">
        <w:t>Kendler</w:t>
      </w:r>
      <w:proofErr w:type="spellEnd"/>
      <w:r w:rsidR="00800991">
        <w:t xml:space="preserve"> et al.</w:t>
      </w:r>
      <w:r w:rsidR="001A6002">
        <w:t xml:space="preserve"> 2003).</w:t>
      </w:r>
      <w:r w:rsidR="00925EF2">
        <w:t xml:space="preserve">  There is </w:t>
      </w:r>
      <w:r w:rsidR="00925EF2" w:rsidRPr="00323B11">
        <w:t>a positive correlation between religiosity and proper adjustment (</w:t>
      </w:r>
      <w:proofErr w:type="spellStart"/>
      <w:r w:rsidR="00925EF2" w:rsidRPr="00323B11">
        <w:t>Kristeller</w:t>
      </w:r>
      <w:proofErr w:type="spellEnd"/>
      <w:r w:rsidR="00323B11" w:rsidRPr="00323B11">
        <w:t>, Sheets, Johnson, and Frank</w:t>
      </w:r>
      <w:r w:rsidR="00925EF2" w:rsidRPr="00323B11">
        <w:t xml:space="preserve"> 2011).</w:t>
      </w:r>
      <w:r w:rsidR="00925EF2">
        <w:t xml:space="preserve"> </w:t>
      </w:r>
      <w:r w:rsidR="00800991">
        <w:t xml:space="preserve">Finally, those who frequently attend religious services are not only less likely to be </w:t>
      </w:r>
      <w:r w:rsidR="00800991">
        <w:lastRenderedPageBreak/>
        <w:t>depressed or phobic but are more likely to be optimistic and report positive social support (</w:t>
      </w:r>
      <w:proofErr w:type="spellStart"/>
      <w:r w:rsidR="00800991">
        <w:t>Schnall</w:t>
      </w:r>
      <w:proofErr w:type="spellEnd"/>
      <w:r w:rsidR="00800991">
        <w:t xml:space="preserve"> et al. 2012).  </w:t>
      </w:r>
    </w:p>
    <w:p w14:paraId="44558E44" w14:textId="77777777" w:rsidR="00ED6A80" w:rsidRPr="00ED6A80" w:rsidRDefault="00ED6A80" w:rsidP="001519A1">
      <w:pPr>
        <w:spacing w:line="480" w:lineRule="auto"/>
        <w:rPr>
          <w:i/>
        </w:rPr>
      </w:pPr>
      <w:r w:rsidRPr="00ED6A80">
        <w:rPr>
          <w:i/>
        </w:rPr>
        <w:t>3.3 Long</w:t>
      </w:r>
      <w:r w:rsidR="00646E99">
        <w:rPr>
          <w:i/>
        </w:rPr>
        <w:t>evity</w:t>
      </w:r>
    </w:p>
    <w:p w14:paraId="213F90BC" w14:textId="77777777" w:rsidR="0017114F" w:rsidRDefault="00ED6A80" w:rsidP="001519A1">
      <w:pPr>
        <w:spacing w:line="480" w:lineRule="auto"/>
      </w:pPr>
      <w:r>
        <w:t xml:space="preserve">Not only do most people want to be healthy, but most want to maximize their longevity.  We want our lives to be as long and as full as possible.  Once again, the religious have the </w:t>
      </w:r>
      <w:r w:rsidR="00251462">
        <w:t>upside.  For example, in a study of suicide</w:t>
      </w:r>
      <w:r w:rsidR="001A6002">
        <w:t xml:space="preserve"> among the elderly</w:t>
      </w:r>
      <w:r w:rsidR="00251462">
        <w:t xml:space="preserve">, participation in religious activities reduces the odds of suicide considerably even after controlling for things like </w:t>
      </w:r>
      <w:r w:rsidR="00251462" w:rsidRPr="00251462">
        <w:t>sex, race, marital status, age, and frequency of social contact</w:t>
      </w:r>
      <w:r w:rsidR="002E2A83">
        <w:t xml:space="preserve"> (</w:t>
      </w:r>
      <w:proofErr w:type="spellStart"/>
      <w:r w:rsidR="002E2A83">
        <w:t>Nisbet</w:t>
      </w:r>
      <w:proofErr w:type="spellEnd"/>
      <w:r w:rsidR="00F3535B">
        <w:t xml:space="preserve">, Duberstein, Conwell, and </w:t>
      </w:r>
      <w:proofErr w:type="spellStart"/>
      <w:r w:rsidR="00F3535B">
        <w:t>Seidlitz</w:t>
      </w:r>
      <w:proofErr w:type="spellEnd"/>
      <w:r w:rsidR="002E2A83">
        <w:t xml:space="preserve"> 2000).  </w:t>
      </w:r>
      <w:r w:rsidR="001A6002">
        <w:t xml:space="preserve">Similar results have been produced for </w:t>
      </w:r>
      <w:r w:rsidR="000D0D78">
        <w:t xml:space="preserve">the rates of suicide among </w:t>
      </w:r>
      <w:r w:rsidR="001A6002">
        <w:t>young people (Donahue</w:t>
      </w:r>
      <w:r w:rsidR="001F785A">
        <w:t xml:space="preserve"> and Benson</w:t>
      </w:r>
      <w:r w:rsidR="001A6002">
        <w:t xml:space="preserve"> 1995).  </w:t>
      </w:r>
      <w:r w:rsidR="0017114F">
        <w:t>The religious are also less likely to die of cancer (Oman</w:t>
      </w:r>
      <w:r w:rsidR="001F785A">
        <w:t xml:space="preserve">, </w:t>
      </w:r>
      <w:proofErr w:type="spellStart"/>
      <w:r w:rsidR="001F785A">
        <w:t>Kurata</w:t>
      </w:r>
      <w:proofErr w:type="spellEnd"/>
      <w:r w:rsidR="001F785A">
        <w:t>, Strawbridge, and Cohen</w:t>
      </w:r>
      <w:r w:rsidR="0017114F">
        <w:t xml:space="preserve"> 2005).</w:t>
      </w:r>
    </w:p>
    <w:p w14:paraId="1EA04175" w14:textId="77777777" w:rsidR="0017114F" w:rsidRDefault="002E2A83" w:rsidP="009D3F32">
      <w:pPr>
        <w:spacing w:line="480" w:lineRule="auto"/>
        <w:ind w:firstLine="720"/>
      </w:pPr>
      <w:r>
        <w:t>And the religious are not just more likely to avoid suicide</w:t>
      </w:r>
      <w:r w:rsidR="009D3F32">
        <w:t xml:space="preserve"> and cancer</w:t>
      </w:r>
      <w:r>
        <w:t>—they are more likely to outlive their non-religious counterparts in general (Hummer</w:t>
      </w:r>
      <w:r w:rsidR="001F785A">
        <w:t>, Rogers, Nam, and Ellison</w:t>
      </w:r>
      <w:r>
        <w:t xml:space="preserve"> 1999).</w:t>
      </w:r>
      <w:r w:rsidR="0017114F">
        <w:t xml:space="preserve">  One study in particular confirms that religious involvement boosts the odds for survival increase by about 30% (McCullough </w:t>
      </w:r>
      <w:r w:rsidR="001F785A">
        <w:t xml:space="preserve">et al </w:t>
      </w:r>
      <w:r w:rsidR="0017114F">
        <w:t>2000).</w:t>
      </w:r>
      <w:r w:rsidR="009D3F32">
        <w:t xml:space="preserve">  </w:t>
      </w:r>
    </w:p>
    <w:p w14:paraId="04FBF216" w14:textId="77777777" w:rsidR="00646E99" w:rsidRPr="00005649" w:rsidRDefault="001A5116" w:rsidP="001519A1">
      <w:pPr>
        <w:spacing w:line="480" w:lineRule="auto"/>
        <w:rPr>
          <w:i/>
        </w:rPr>
      </w:pPr>
      <w:r w:rsidRPr="00005649">
        <w:rPr>
          <w:i/>
        </w:rPr>
        <w:t>3.</w:t>
      </w:r>
      <w:r w:rsidR="00E5402F" w:rsidRPr="00005649">
        <w:rPr>
          <w:i/>
        </w:rPr>
        <w:t>4</w:t>
      </w:r>
      <w:r w:rsidRPr="00005649">
        <w:rPr>
          <w:i/>
        </w:rPr>
        <w:t xml:space="preserve"> </w:t>
      </w:r>
      <w:r w:rsidR="00646E99" w:rsidRPr="00005649">
        <w:rPr>
          <w:i/>
        </w:rPr>
        <w:t>Interpersonal Relationships</w:t>
      </w:r>
    </w:p>
    <w:p w14:paraId="5082DB88" w14:textId="77777777" w:rsidR="00646E99" w:rsidRDefault="00896D97" w:rsidP="001519A1">
      <w:pPr>
        <w:spacing w:line="480" w:lineRule="auto"/>
      </w:pPr>
      <w:r>
        <w:t xml:space="preserve">Believing in God doesn’t just affect one’s health and longevity.  It also positively boosts the quality of various interpersonal relationships.  Most studies in this area have focused on marital relations.  For example, </w:t>
      </w:r>
      <w:r w:rsidR="00346642">
        <w:t>weekly attendance at church services reduces the odds that a couple will be involved in domestic violence by about half (Ellison</w:t>
      </w:r>
      <w:r w:rsidR="001F785A">
        <w:t xml:space="preserve">, </w:t>
      </w:r>
      <w:proofErr w:type="spellStart"/>
      <w:r w:rsidR="001F785A">
        <w:t>Bartkowski</w:t>
      </w:r>
      <w:proofErr w:type="spellEnd"/>
      <w:r w:rsidR="001F785A">
        <w:t>, and Anderson</w:t>
      </w:r>
      <w:r w:rsidR="00346642">
        <w:t xml:space="preserve"> 1997).  Additionally, </w:t>
      </w:r>
      <w:r>
        <w:t>couples who attend religious services regularly are about 2.4 times less likely to get divorced than those who avoid religious services altogether (</w:t>
      </w:r>
      <w:r w:rsidR="00005649">
        <w:t>Call</w:t>
      </w:r>
      <w:r>
        <w:t xml:space="preserve"> </w:t>
      </w:r>
      <w:r w:rsidR="001F785A">
        <w:t xml:space="preserve">and Heaton </w:t>
      </w:r>
      <w:r>
        <w:t xml:space="preserve">1997).  Now one might think that the best explanation for this data is simply that religious people are less likely to avail themselves of a divorce to end an unhappy relationship.  But the data do not bear this out.  </w:t>
      </w:r>
      <w:r w:rsidR="00005649">
        <w:t xml:space="preserve">For example, </w:t>
      </w:r>
      <w:r w:rsidR="00957D32">
        <w:t xml:space="preserve">General Social Surveys in the US have </w:t>
      </w:r>
      <w:r w:rsidR="00957D32">
        <w:lastRenderedPageBreak/>
        <w:t xml:space="preserve">shown that rates of adultery co-vary with the rates of religious participation.  About 12% of those who participate in religious worship weekly or more have </w:t>
      </w:r>
      <w:r w:rsidR="0036283C">
        <w:t>also participated in</w:t>
      </w:r>
      <w:r w:rsidR="00957D32">
        <w:t xml:space="preserve"> adultery whereas this goes up to 17% for those who worship greater than monthly, 20.6% for those who worship less than monthly, and almost 25% for those who never worship (Fagan </w:t>
      </w:r>
      <w:r w:rsidR="001F785A">
        <w:t xml:space="preserve">and Nagai </w:t>
      </w:r>
      <w:r w:rsidR="00957D32">
        <w:t xml:space="preserve">2006).  In other words, weekly religious participation reduces the odds of adultery by </w:t>
      </w:r>
      <w:r w:rsidR="0036283C">
        <w:t xml:space="preserve">more than </w:t>
      </w:r>
      <w:r w:rsidR="00957D32">
        <w:t xml:space="preserve">half.  </w:t>
      </w:r>
      <w:r w:rsidR="00005649">
        <w:t xml:space="preserve">Furthermore, when couples attend religious services on a weekly basis, they are more likely to report that they are happy with the quality of their marriage (Wilcox </w:t>
      </w:r>
      <w:r w:rsidR="001F785A">
        <w:t xml:space="preserve">and Nock </w:t>
      </w:r>
      <w:r w:rsidR="00005649">
        <w:t>2006).</w:t>
      </w:r>
      <w:r w:rsidR="00957D32">
        <w:t xml:space="preserve">  So it’s not just that religious people stay together because they do not see divorce as a live option.  They are happier and less likely to seek sex outside of their committed relationships.</w:t>
      </w:r>
    </w:p>
    <w:p w14:paraId="472CCA52" w14:textId="77777777" w:rsidR="001A5116" w:rsidRPr="007569B7" w:rsidRDefault="00646E99" w:rsidP="001519A1">
      <w:pPr>
        <w:spacing w:line="480" w:lineRule="auto"/>
        <w:rPr>
          <w:i/>
        </w:rPr>
      </w:pPr>
      <w:r w:rsidRPr="007569B7">
        <w:rPr>
          <w:i/>
        </w:rPr>
        <w:t>3.</w:t>
      </w:r>
      <w:r w:rsidR="00E5402F" w:rsidRPr="007569B7">
        <w:rPr>
          <w:i/>
        </w:rPr>
        <w:t>5</w:t>
      </w:r>
      <w:r w:rsidRPr="007569B7">
        <w:rPr>
          <w:i/>
        </w:rPr>
        <w:t xml:space="preserve"> </w:t>
      </w:r>
      <w:r w:rsidR="001A5116" w:rsidRPr="007569B7">
        <w:rPr>
          <w:i/>
        </w:rPr>
        <w:t>Charitable</w:t>
      </w:r>
      <w:r w:rsidRPr="007569B7">
        <w:rPr>
          <w:i/>
        </w:rPr>
        <w:t xml:space="preserve"> Giving</w:t>
      </w:r>
    </w:p>
    <w:p w14:paraId="1C5A846F" w14:textId="77777777" w:rsidR="001519A1" w:rsidRDefault="007569B7" w:rsidP="001519A1">
      <w:pPr>
        <w:spacing w:line="480" w:lineRule="auto"/>
      </w:pPr>
      <w:r>
        <w:t xml:space="preserve">Suppose you </w:t>
      </w:r>
      <w:r w:rsidR="007701E8">
        <w:t>think</w:t>
      </w:r>
      <w:r>
        <w:t xml:space="preserve"> that we ought to help others less fortunate than ourselves</w:t>
      </w:r>
      <w:r w:rsidR="007701E8">
        <w:t xml:space="preserve"> and you want to develop a virtue of charity in your life</w:t>
      </w:r>
      <w:r>
        <w:t xml:space="preserve">.  What should </w:t>
      </w:r>
      <w:r w:rsidR="007701E8">
        <w:t>you</w:t>
      </w:r>
      <w:r>
        <w:t xml:space="preserve"> do to meet that goal?  Take classes in ethics?  </w:t>
      </w:r>
      <w:r w:rsidR="007701E8">
        <w:t>Probably not—</w:t>
      </w:r>
      <w:r w:rsidR="00450441">
        <w:t>recent studies</w:t>
      </w:r>
      <w:r w:rsidR="00EE6A1C">
        <w:t xml:space="preserve"> </w:t>
      </w:r>
      <w:r w:rsidR="00450441">
        <w:t>have shown</w:t>
      </w:r>
      <w:r w:rsidR="007701E8">
        <w:t xml:space="preserve"> that those who study ethics professionally are no more likely than average to be courteous</w:t>
      </w:r>
      <w:r w:rsidR="00450441">
        <w:t xml:space="preserve"> (</w:t>
      </w:r>
      <w:proofErr w:type="spellStart"/>
      <w:r w:rsidR="00450441">
        <w:t>Schwitzgebel</w:t>
      </w:r>
      <w:proofErr w:type="spellEnd"/>
      <w:r w:rsidR="00450441">
        <w:t>, Rust, Huang, Moore, and Coates 2012)</w:t>
      </w:r>
      <w:r w:rsidR="007701E8">
        <w:t>, vote</w:t>
      </w:r>
      <w:r w:rsidR="00450441">
        <w:t xml:space="preserve"> (</w:t>
      </w:r>
      <w:proofErr w:type="spellStart"/>
      <w:r w:rsidR="00450441">
        <w:t>Schwitzgebel</w:t>
      </w:r>
      <w:proofErr w:type="spellEnd"/>
      <w:r w:rsidR="00450441">
        <w:t xml:space="preserve"> and Rust 2010)</w:t>
      </w:r>
      <w:r w:rsidR="007701E8">
        <w:t>, or respond to student emails</w:t>
      </w:r>
      <w:r w:rsidR="001F785A">
        <w:t>.  Additionally, those who study ethics professionally are</w:t>
      </w:r>
      <w:r w:rsidR="00450441">
        <w:t xml:space="preserve"> just as likely to free-ride at </w:t>
      </w:r>
      <w:r w:rsidR="001F785A">
        <w:t>conferences</w:t>
      </w:r>
      <w:r w:rsidR="0036283C">
        <w:t xml:space="preserve"> by not paying the required registration fees</w:t>
      </w:r>
      <w:r w:rsidR="001F785A">
        <w:t xml:space="preserve"> (</w:t>
      </w:r>
      <w:proofErr w:type="spellStart"/>
      <w:r w:rsidR="001F785A">
        <w:t>Schwitzgebel</w:t>
      </w:r>
      <w:proofErr w:type="spellEnd"/>
      <w:r w:rsidR="001F785A">
        <w:t xml:space="preserve"> 2013)</w:t>
      </w:r>
      <w:r w:rsidR="007701E8">
        <w:t xml:space="preserve"> and </w:t>
      </w:r>
      <w:r w:rsidR="00450441">
        <w:t xml:space="preserve">more likely </w:t>
      </w:r>
      <w:r w:rsidR="007701E8">
        <w:t>to steal books from the library! (</w:t>
      </w:r>
      <w:proofErr w:type="spellStart"/>
      <w:r w:rsidR="00450441">
        <w:t>Schwitzgebel</w:t>
      </w:r>
      <w:proofErr w:type="spellEnd"/>
      <w:r w:rsidR="00450441">
        <w:t xml:space="preserve"> 2009</w:t>
      </w:r>
      <w:r w:rsidR="00EE6A1C">
        <w:t>).</w:t>
      </w:r>
    </w:p>
    <w:p w14:paraId="5797453A" w14:textId="77777777" w:rsidR="00EE6A1C" w:rsidRDefault="00EE6A1C" w:rsidP="001519A1">
      <w:pPr>
        <w:spacing w:line="480" w:lineRule="auto"/>
      </w:pPr>
      <w:r>
        <w:tab/>
        <w:t>Instead of studying ethics, one of the best things one can do is become involved in a religion.  As the Gallup poll from the 1980’s concludes, people who describe themselves as “spiritually committed” are:</w:t>
      </w:r>
    </w:p>
    <w:p w14:paraId="6147B708" w14:textId="77777777" w:rsidR="001519A1" w:rsidRPr="001519A1" w:rsidRDefault="00EE6A1C" w:rsidP="001A5116">
      <w:pPr>
        <w:spacing w:line="480" w:lineRule="auto"/>
        <w:ind w:left="720" w:right="720"/>
      </w:pPr>
      <w:r>
        <w:t>…</w:t>
      </w:r>
      <w:r w:rsidR="001A5116">
        <w:t xml:space="preserve">far more involved in charitable activities than are their counterparts. A total of 46 percent of the highly spiritually committed say they are presently working among the poor, the infirm, and the elderly, compared to 36 percent of the moderately committed, </w:t>
      </w:r>
      <w:r w:rsidR="001A5116">
        <w:lastRenderedPageBreak/>
        <w:t>28 percent of the moderately uncommitted, and 22 percent of the highly uncommitted. (Gallup 1985, p. 170)</w:t>
      </w:r>
    </w:p>
    <w:p w14:paraId="17459C81" w14:textId="77777777" w:rsidR="00EE6A1C" w:rsidRDefault="00EE6A1C" w:rsidP="009F14B5">
      <w:pPr>
        <w:spacing w:line="480" w:lineRule="auto"/>
      </w:pPr>
      <w:r>
        <w:t xml:space="preserve">Recent work by Arthur </w:t>
      </w:r>
      <w:r w:rsidR="00CA65E2">
        <w:t xml:space="preserve">C. </w:t>
      </w:r>
      <w:r>
        <w:t>Brooks bears this out.</w:t>
      </w:r>
      <w:r w:rsidR="00CA65E2">
        <w:t xml:space="preserve">  Even after controlling for age, income, ethnicity, marriage-status, and education, it turns out that regular church attendance correlates with being 21% more likely to have made a charitable donation during the past year and volunteering on average 6.4 more occasions (Brooks 2007, p. 35.).  Daily prayer to God is correlated with being 30% more likely to give money to charity.</w:t>
      </w:r>
      <w:r w:rsidR="00964CEF">
        <w:t xml:space="preserve">  In fact, religious involvement is a more important indicator for charity than political affiliation.  The following chart displays average annual household charitable donations sorted by religious and political affiliation (Brooks 2007):</w:t>
      </w:r>
    </w:p>
    <w:tbl>
      <w:tblPr>
        <w:tblStyle w:val="TableGrid"/>
        <w:tblW w:w="0" w:type="auto"/>
        <w:tblLook w:val="04A0" w:firstRow="1" w:lastRow="0" w:firstColumn="1" w:lastColumn="0" w:noHBand="0" w:noVBand="1"/>
      </w:tblPr>
      <w:tblGrid>
        <w:gridCol w:w="3116"/>
        <w:gridCol w:w="3117"/>
        <w:gridCol w:w="3117"/>
      </w:tblGrid>
      <w:tr w:rsidR="00964CEF" w14:paraId="051F03D9" w14:textId="77777777" w:rsidTr="00964CEF">
        <w:tc>
          <w:tcPr>
            <w:tcW w:w="3116" w:type="dxa"/>
          </w:tcPr>
          <w:p w14:paraId="6491B83C" w14:textId="77777777" w:rsidR="00964CEF" w:rsidRDefault="00964CEF" w:rsidP="0036283C">
            <w:pPr>
              <w:spacing w:line="480" w:lineRule="auto"/>
              <w:jc w:val="center"/>
            </w:pPr>
          </w:p>
        </w:tc>
        <w:tc>
          <w:tcPr>
            <w:tcW w:w="3117" w:type="dxa"/>
          </w:tcPr>
          <w:p w14:paraId="4555B88D" w14:textId="77777777" w:rsidR="00964CEF" w:rsidRDefault="00964CEF" w:rsidP="0036283C">
            <w:pPr>
              <w:spacing w:line="480" w:lineRule="auto"/>
              <w:jc w:val="center"/>
            </w:pPr>
            <w:r>
              <w:t>Conservative</w:t>
            </w:r>
          </w:p>
        </w:tc>
        <w:tc>
          <w:tcPr>
            <w:tcW w:w="3117" w:type="dxa"/>
          </w:tcPr>
          <w:p w14:paraId="0495E280" w14:textId="77777777" w:rsidR="00964CEF" w:rsidRDefault="00964CEF" w:rsidP="0036283C">
            <w:pPr>
              <w:spacing w:line="480" w:lineRule="auto"/>
              <w:jc w:val="center"/>
            </w:pPr>
            <w:r>
              <w:t>Liberal</w:t>
            </w:r>
          </w:p>
        </w:tc>
      </w:tr>
      <w:tr w:rsidR="00964CEF" w14:paraId="6A39F18B" w14:textId="77777777" w:rsidTr="00964CEF">
        <w:tc>
          <w:tcPr>
            <w:tcW w:w="3116" w:type="dxa"/>
          </w:tcPr>
          <w:p w14:paraId="11E349EB" w14:textId="77777777" w:rsidR="00964CEF" w:rsidRDefault="00964CEF" w:rsidP="0036283C">
            <w:pPr>
              <w:spacing w:line="480" w:lineRule="auto"/>
              <w:jc w:val="center"/>
            </w:pPr>
            <w:r>
              <w:t>Religious</w:t>
            </w:r>
          </w:p>
        </w:tc>
        <w:tc>
          <w:tcPr>
            <w:tcW w:w="3117" w:type="dxa"/>
          </w:tcPr>
          <w:p w14:paraId="579764AE" w14:textId="77777777" w:rsidR="00964CEF" w:rsidRDefault="00964CEF" w:rsidP="0036283C">
            <w:pPr>
              <w:spacing w:line="480" w:lineRule="auto"/>
              <w:jc w:val="center"/>
            </w:pPr>
            <w:r>
              <w:t>$2,367</w:t>
            </w:r>
          </w:p>
        </w:tc>
        <w:tc>
          <w:tcPr>
            <w:tcW w:w="3117" w:type="dxa"/>
          </w:tcPr>
          <w:p w14:paraId="65FE5CC5" w14:textId="77777777" w:rsidR="00964CEF" w:rsidRDefault="00964CEF" w:rsidP="0036283C">
            <w:pPr>
              <w:spacing w:line="480" w:lineRule="auto"/>
              <w:jc w:val="center"/>
            </w:pPr>
            <w:r>
              <w:t>$2,130</w:t>
            </w:r>
          </w:p>
        </w:tc>
      </w:tr>
      <w:tr w:rsidR="00964CEF" w14:paraId="29266D80" w14:textId="77777777" w:rsidTr="00964CEF">
        <w:tc>
          <w:tcPr>
            <w:tcW w:w="3116" w:type="dxa"/>
          </w:tcPr>
          <w:p w14:paraId="4BF444A0" w14:textId="77777777" w:rsidR="00964CEF" w:rsidRDefault="00964CEF" w:rsidP="0036283C">
            <w:pPr>
              <w:spacing w:line="480" w:lineRule="auto"/>
              <w:jc w:val="center"/>
            </w:pPr>
            <w:r>
              <w:t>Non-religious</w:t>
            </w:r>
          </w:p>
        </w:tc>
        <w:tc>
          <w:tcPr>
            <w:tcW w:w="3117" w:type="dxa"/>
          </w:tcPr>
          <w:p w14:paraId="74F993E0" w14:textId="77777777" w:rsidR="00964CEF" w:rsidRDefault="00964CEF" w:rsidP="0036283C">
            <w:pPr>
              <w:spacing w:line="480" w:lineRule="auto"/>
              <w:jc w:val="center"/>
            </w:pPr>
            <w:r>
              <w:t>$661</w:t>
            </w:r>
          </w:p>
        </w:tc>
        <w:tc>
          <w:tcPr>
            <w:tcW w:w="3117" w:type="dxa"/>
          </w:tcPr>
          <w:p w14:paraId="25AAEBD7" w14:textId="77777777" w:rsidR="00964CEF" w:rsidRDefault="00964CEF" w:rsidP="0036283C">
            <w:pPr>
              <w:spacing w:line="480" w:lineRule="auto"/>
              <w:jc w:val="center"/>
            </w:pPr>
            <w:r>
              <w:t>$789</w:t>
            </w:r>
          </w:p>
        </w:tc>
      </w:tr>
    </w:tbl>
    <w:p w14:paraId="42438B89" w14:textId="77777777" w:rsidR="00964CEF" w:rsidRDefault="00964CEF" w:rsidP="009F14B5">
      <w:pPr>
        <w:spacing w:line="480" w:lineRule="auto"/>
      </w:pPr>
    </w:p>
    <w:p w14:paraId="344CDDEA" w14:textId="77777777" w:rsidR="00964CEF" w:rsidRDefault="00964CEF" w:rsidP="009F14B5">
      <w:pPr>
        <w:spacing w:line="480" w:lineRule="auto"/>
      </w:pPr>
      <w:r>
        <w:t>While the difference between conservatives and liberals is not statistically significant, the difference between those who practice a religion and their secular counterparts is clear.</w:t>
      </w:r>
    </w:p>
    <w:p w14:paraId="03EA1701" w14:textId="77777777" w:rsidR="00CA65E2" w:rsidRDefault="00CA65E2" w:rsidP="009F14B5">
      <w:pPr>
        <w:spacing w:line="480" w:lineRule="auto"/>
      </w:pPr>
      <w:r>
        <w:tab/>
        <w:t>One might object that these findings only show that religious people are more likely to contribute to their own, dogmatic religious institutions.  But the data do not bear this out.  Religious giving swamps nonreligious giving even to secular causes like the United Way or giving to family and friends (Brooks 2007, p. 38).  The religious are also more likely to donate blood, volunteer, and give directions to those who are lost (Brooks 2007).</w:t>
      </w:r>
    </w:p>
    <w:p w14:paraId="46812F4B" w14:textId="77777777" w:rsidR="00A02B89" w:rsidRPr="0096117C" w:rsidRDefault="0096117C" w:rsidP="00EE6A1C">
      <w:pPr>
        <w:spacing w:line="480" w:lineRule="auto"/>
        <w:ind w:firstLine="720"/>
      </w:pPr>
      <w:r w:rsidRPr="0096117C">
        <w:t xml:space="preserve">The </w:t>
      </w:r>
      <w:r w:rsidR="00EE6A1C">
        <w:t xml:space="preserve">overall </w:t>
      </w:r>
      <w:r w:rsidRPr="0096117C">
        <w:t>conclusion of this section is straightforward.</w:t>
      </w:r>
      <w:r>
        <w:t xml:space="preserve">  The religious life is likely to make you happier, healthier (in both mind and body), live longer, </w:t>
      </w:r>
      <w:r w:rsidR="009F14B5">
        <w:t>strengthen</w:t>
      </w:r>
      <w:r>
        <w:t xml:space="preserve"> your relationships with others,</w:t>
      </w:r>
      <w:r w:rsidR="009F14B5">
        <w:t xml:space="preserve"> and </w:t>
      </w:r>
      <w:r w:rsidR="009F14B5">
        <w:lastRenderedPageBreak/>
        <w:t xml:space="preserve">more charitable.  </w:t>
      </w:r>
      <w:r w:rsidR="007569B7">
        <w:t>If a person has these things as goals for her life, than this person thereby has good reason to believe in God.</w:t>
      </w:r>
    </w:p>
    <w:p w14:paraId="65003758" w14:textId="77777777" w:rsidR="00E96324" w:rsidRPr="00E96324" w:rsidRDefault="00E96324" w:rsidP="0017114F">
      <w:pPr>
        <w:spacing w:line="480" w:lineRule="auto"/>
        <w:rPr>
          <w:b/>
        </w:rPr>
      </w:pPr>
      <w:r w:rsidRPr="00E96324">
        <w:rPr>
          <w:b/>
        </w:rPr>
        <w:t>4. Objections</w:t>
      </w:r>
      <w:r w:rsidR="00061445">
        <w:rPr>
          <w:b/>
        </w:rPr>
        <w:t xml:space="preserve"> and Three Calls for Future Research</w:t>
      </w:r>
    </w:p>
    <w:p w14:paraId="545828C6" w14:textId="77777777" w:rsidR="00E04D5D" w:rsidRDefault="00E04D5D" w:rsidP="0017114F">
      <w:pPr>
        <w:spacing w:line="480" w:lineRule="auto"/>
      </w:pPr>
      <w:r>
        <w:t xml:space="preserve">This paper argues that most people have a good reason to believe in God regardless of whether they have evidence that God exists.  This is because most people have goals that include being happy, healthy, charitable and so on.  Since believing in God advances these goals, most people have a reason to believe in God.  There are many ways one can reject this line of reasoning, but most of the objections fail.  What follows is a sampling of objections ordered from least to most </w:t>
      </w:r>
      <w:proofErr w:type="gramStart"/>
      <w:r>
        <w:t>persuasive.</w:t>
      </w:r>
      <w:proofErr w:type="gramEnd"/>
    </w:p>
    <w:p w14:paraId="55210CCB" w14:textId="77777777" w:rsidR="00A02B89" w:rsidRDefault="007D1B56" w:rsidP="0017114F">
      <w:pPr>
        <w:spacing w:line="480" w:lineRule="auto"/>
      </w:pPr>
      <w:r w:rsidRPr="00701E0A">
        <w:rPr>
          <w:b/>
        </w:rPr>
        <w:t xml:space="preserve">4.1 </w:t>
      </w:r>
      <w:r w:rsidR="00A02B89" w:rsidRPr="00701E0A">
        <w:rPr>
          <w:b/>
        </w:rPr>
        <w:t>Objection:</w:t>
      </w:r>
      <w:r w:rsidR="00A02B89">
        <w:t xml:space="preserve"> </w:t>
      </w:r>
      <w:r w:rsidR="005A64DD">
        <w:t>But i</w:t>
      </w:r>
      <w:r w:rsidR="003431DB">
        <w:t>t’s not worth it to believe something that’s false even if we get something out of it!</w:t>
      </w:r>
    </w:p>
    <w:p w14:paraId="6FF4B1EB" w14:textId="77777777" w:rsidR="003431DB" w:rsidRDefault="00A02B89" w:rsidP="0017114F">
      <w:pPr>
        <w:spacing w:line="480" w:lineRule="auto"/>
      </w:pPr>
      <w:r>
        <w:t>Reply:</w:t>
      </w:r>
      <w:r w:rsidR="003431DB">
        <w:t xml:space="preserve"> First of all, it’s not obvious that theism is false.  Philosophers disagree with many tending toward agnosticism.  And interestingly, what might be the best argument for atheism—the argument from divine hiddenness—pre-supposes that belief in God is a very good thing (so good that God would guarantee that we all have it).  </w:t>
      </w:r>
      <w:r w:rsidR="00320F6D">
        <w:t xml:space="preserve">Belief in God is supposed to be such a good thing because it’s a necessary condition for something even greater: a relationship with God (you don’t have relationships with people you don’t think exist).  </w:t>
      </w:r>
      <w:r w:rsidR="003431DB">
        <w:t>This raises a dilemma: if it IS a good thing to believe in God, then the main case of this paper succeeds.  If it is NOT a good thing to believe in God, then this undercuts what is likely the best argument for atheism.</w:t>
      </w:r>
    </w:p>
    <w:p w14:paraId="195A6CF9" w14:textId="77777777" w:rsidR="00A02B89" w:rsidRDefault="003431DB" w:rsidP="0017114F">
      <w:pPr>
        <w:spacing w:line="480" w:lineRule="auto"/>
      </w:pPr>
      <w:r>
        <w:tab/>
        <w:t>Second, and more importa</w:t>
      </w:r>
      <w:r w:rsidR="0036283C">
        <w:t xml:space="preserve">ntly, while believing truly is an important goal for most people, it would be surprising if it were a supreme, all-trumping </w:t>
      </w:r>
      <w:r>
        <w:t xml:space="preserve">goal for most people.  It is more plausible that the goal of believing truly is an instrumental goal: we want true beliefs about the world because, ceteris paribus, we have a better shot at attaining our goals when we believe truly.  But just as believing falsely that we will recover from an illness might be more important to achieving the goal of recovery, so, too, </w:t>
      </w:r>
      <w:r>
        <w:lastRenderedPageBreak/>
        <w:t>might believing in God without certainty or even good evidence be more important to achieving our life goals.  In other words, sometimes it’s worth risking a false belief to get what we want in life.</w:t>
      </w:r>
    </w:p>
    <w:p w14:paraId="3D1355D0" w14:textId="77777777" w:rsidR="005A64DD" w:rsidRDefault="0017114F" w:rsidP="0017114F">
      <w:pPr>
        <w:spacing w:line="480" w:lineRule="auto"/>
      </w:pPr>
      <w:r w:rsidRPr="00701E0A">
        <w:rPr>
          <w:b/>
        </w:rPr>
        <w:t xml:space="preserve">4.2 </w:t>
      </w:r>
      <w:r w:rsidR="005A64DD" w:rsidRPr="00701E0A">
        <w:rPr>
          <w:b/>
        </w:rPr>
        <w:t>Objection:</w:t>
      </w:r>
      <w:r w:rsidR="005A64DD">
        <w:t xml:space="preserve"> But belief in God isn’t a necessary condition for securing each of these goods!  After all, it’s possible for an atheist to be happy, healthy, etc.</w:t>
      </w:r>
    </w:p>
    <w:p w14:paraId="29CFDFBC" w14:textId="77777777" w:rsidR="005A64DD" w:rsidRDefault="005A64DD" w:rsidP="0017114F">
      <w:pPr>
        <w:spacing w:line="480" w:lineRule="auto"/>
      </w:pPr>
      <w:r>
        <w:t xml:space="preserve">Reply: That’s true but irrelevant.  The point of this paper is not to argue that belief in God is a necessary condition for meeting these goals.  Instead, the point is that belief in God improves one’s odds of meeting these goals.  It’s possible for a smoker to live to 100.  It’s possible for a high-school educated person to earn six figures a year.  But this doesn’t prevent us from saying that we each have a reason not to smoke or a reason to go to college.  Similarly, while it’s possible for a non-theist to secure the aforementioned goods, the odds go up considerably with the adoption of religion. </w:t>
      </w:r>
    </w:p>
    <w:p w14:paraId="26C6FA9A" w14:textId="59431BD4" w:rsidR="00DC75A1" w:rsidRDefault="00DC75A1" w:rsidP="0017114F">
      <w:pPr>
        <w:spacing w:line="480" w:lineRule="auto"/>
      </w:pPr>
      <w:r w:rsidRPr="00701E0A">
        <w:rPr>
          <w:b/>
        </w:rPr>
        <w:t>4.3 Objection:</w:t>
      </w:r>
      <w:r>
        <w:t xml:space="preserve"> You’ve got the direction of causation backward!  It’s not that being religious causes us to be happy but that being happy causes us to be religious</w:t>
      </w:r>
      <w:r w:rsidR="00F251BF" w:rsidRPr="00F251BF">
        <w:rPr>
          <w:vertAlign w:val="superscript"/>
        </w:rPr>
        <w:t>4</w:t>
      </w:r>
      <w:r>
        <w:t>.</w:t>
      </w:r>
    </w:p>
    <w:p w14:paraId="3A88AE7A" w14:textId="77777777" w:rsidR="00DC75A1" w:rsidRDefault="00DC75A1" w:rsidP="0017114F">
      <w:pPr>
        <w:spacing w:line="480" w:lineRule="auto"/>
      </w:pPr>
      <w:r>
        <w:t xml:space="preserve">Reply: As Hume makes annoyingly clear, the best we can do is find correlations between empirical phenomena.  The findings cited in </w:t>
      </w:r>
      <w:r w:rsidRPr="00323819">
        <w:rPr>
          <w:rFonts w:ascii="Calibri" w:hAnsi="Calibri"/>
        </w:rPr>
        <w:t>§</w:t>
      </w:r>
      <w:r>
        <w:t xml:space="preserve">3 do the same by noting correlations between </w:t>
      </w:r>
      <w:proofErr w:type="spellStart"/>
      <w:r>
        <w:t>religiousity</w:t>
      </w:r>
      <w:proofErr w:type="spellEnd"/>
      <w:r>
        <w:t xml:space="preserve"> and various empirical outcomes.  It is then left to our best theories of the world to impose a causal direction on the correlations that we find.  </w:t>
      </w:r>
      <w:r w:rsidR="00F6279E">
        <w:t>In some cases, the direction should be pretty obvious: for many people, religious practice begins long before adultery is a possibility.  In other cases, the direction is more difficult to discern.  In these cases, t</w:t>
      </w:r>
      <w:r>
        <w:t xml:space="preserve">he experts in the field are best positioned to make this judgment, and </w:t>
      </w:r>
      <w:r w:rsidR="00F6279E">
        <w:t>many</w:t>
      </w:r>
      <w:r>
        <w:t xml:space="preserve"> conclude that it’s the religious life that causes the various outcomes and not the other way around.</w:t>
      </w:r>
    </w:p>
    <w:p w14:paraId="289A5191" w14:textId="77777777" w:rsidR="00181D43" w:rsidRDefault="00181D43" w:rsidP="0017114F">
      <w:pPr>
        <w:spacing w:line="480" w:lineRule="auto"/>
      </w:pPr>
      <w:r>
        <w:tab/>
        <w:t xml:space="preserve">However, it should be granted that there may well be a common cause that could explain some of the correlations between </w:t>
      </w:r>
      <w:proofErr w:type="spellStart"/>
      <w:r>
        <w:t>religiousity</w:t>
      </w:r>
      <w:proofErr w:type="spellEnd"/>
      <w:r>
        <w:t xml:space="preserve"> and various positive outcomes.  For instance, perhaps there is some common cause that explains both why certain couples attend church regularly and why those </w:t>
      </w:r>
      <w:r>
        <w:lastRenderedPageBreak/>
        <w:t xml:space="preserve">same couples are resistant to having sex outside of their marriage.  This </w:t>
      </w:r>
      <w:r w:rsidR="00F6279E">
        <w:t>is the first call for further research:</w:t>
      </w:r>
      <w:r>
        <w:t xml:space="preserve"> might there be a common cause that explains many of the correlations invoked in </w:t>
      </w:r>
      <w:r w:rsidRPr="00323819">
        <w:rPr>
          <w:rFonts w:ascii="Calibri" w:hAnsi="Calibri"/>
        </w:rPr>
        <w:t>§</w:t>
      </w:r>
      <w:r>
        <w:t>3?</w:t>
      </w:r>
    </w:p>
    <w:p w14:paraId="4337F9F2" w14:textId="77777777" w:rsidR="005A64DD" w:rsidRDefault="005A64DD" w:rsidP="0017114F">
      <w:pPr>
        <w:spacing w:line="480" w:lineRule="auto"/>
      </w:pPr>
      <w:r w:rsidRPr="00701E0A">
        <w:rPr>
          <w:b/>
        </w:rPr>
        <w:t>4.</w:t>
      </w:r>
      <w:r w:rsidR="00DC75A1" w:rsidRPr="00701E0A">
        <w:rPr>
          <w:b/>
        </w:rPr>
        <w:t>4</w:t>
      </w:r>
      <w:r w:rsidRPr="00701E0A">
        <w:rPr>
          <w:b/>
        </w:rPr>
        <w:t xml:space="preserve"> Objection:</w:t>
      </w:r>
      <w:r>
        <w:t xml:space="preserve"> But this is simply a </w:t>
      </w:r>
      <w:r w:rsidRPr="00320F6D">
        <w:rPr>
          <w:i/>
        </w:rPr>
        <w:t>pro-</w:t>
      </w:r>
      <w:proofErr w:type="spellStart"/>
      <w:r w:rsidRPr="00320F6D">
        <w:rPr>
          <w:i/>
        </w:rPr>
        <w:t>tanto</w:t>
      </w:r>
      <w:proofErr w:type="spellEnd"/>
      <w:r>
        <w:t xml:space="preserve"> case for religious belief!  A fair assessment of the utility calculus would also include the negatives that come with religious belief.</w:t>
      </w:r>
    </w:p>
    <w:p w14:paraId="557CA3B0" w14:textId="77777777" w:rsidR="000201FF" w:rsidRDefault="005A64DD" w:rsidP="0017114F">
      <w:pPr>
        <w:spacing w:line="480" w:lineRule="auto"/>
      </w:pPr>
      <w:r>
        <w:t xml:space="preserve">Reply: </w:t>
      </w:r>
      <w:r w:rsidR="000201FF">
        <w:t xml:space="preserve">Two things should be noted.  First, </w:t>
      </w:r>
      <w:r w:rsidR="00F6279E">
        <w:t xml:space="preserve">even if it’s true that religious belief comes with a cadre of negative consequences, this paper would still show that </w:t>
      </w:r>
      <w:r w:rsidR="000201FF">
        <w:t xml:space="preserve">most people have a strong reason to believe in God regardless of the evidence.  </w:t>
      </w:r>
      <w:r w:rsidR="00F6279E">
        <w:t>This is weaker than</w:t>
      </w:r>
      <w:r w:rsidR="000201FF">
        <w:t xml:space="preserve"> the conclusion that most people have an </w:t>
      </w:r>
      <w:r w:rsidR="000201FF" w:rsidRPr="00320F6D">
        <w:rPr>
          <w:i/>
        </w:rPr>
        <w:t>all-things-considered</w:t>
      </w:r>
      <w:r w:rsidR="000201FF">
        <w:t xml:space="preserve"> reason to believe in God regardless of the evidence.  It is consistent with </w:t>
      </w:r>
      <w:r w:rsidR="00F6279E">
        <w:t>this weaker</w:t>
      </w:r>
      <w:r w:rsidR="00320F6D">
        <w:t xml:space="preserve"> thesis</w:t>
      </w:r>
      <w:r w:rsidR="000201FF">
        <w:t xml:space="preserve"> that there are also reasons against belief in God.  One cannot refute the claim that most people have a reason to go to college by pointing out that there are also some reasons against going to college.</w:t>
      </w:r>
    </w:p>
    <w:p w14:paraId="29A06A8F" w14:textId="77777777" w:rsidR="00320F6D" w:rsidRDefault="000201FF" w:rsidP="000201FF">
      <w:pPr>
        <w:spacing w:line="480" w:lineRule="auto"/>
        <w:ind w:firstLine="720"/>
      </w:pPr>
      <w:r>
        <w:t xml:space="preserve">Second, </w:t>
      </w:r>
      <w:r w:rsidR="007D2E62">
        <w:t xml:space="preserve">for present purposes, it is enough to note that </w:t>
      </w:r>
      <w:r w:rsidR="00CA1AD4">
        <w:t xml:space="preserve">there is </w:t>
      </w:r>
      <w:r w:rsidR="00B05FFA">
        <w:t>little</w:t>
      </w:r>
      <w:r w:rsidR="00320F6D">
        <w:t xml:space="preserve"> reason to think</w:t>
      </w:r>
      <w:r w:rsidR="00CA1AD4">
        <w:t xml:space="preserve"> that </w:t>
      </w:r>
      <w:r w:rsidR="00B05FFA">
        <w:t>belief in God</w:t>
      </w:r>
      <w:r w:rsidR="00CA1AD4">
        <w:t xml:space="preserve"> impedes our personal goals in ways relevant to this case.</w:t>
      </w:r>
      <w:r w:rsidR="00B05FFA">
        <w:t xml:space="preserve">  There is simply not the clear, careful empirical evidence tying belief in God to negative outcomes.  Instead, there are anecdotes or question-begging vignettes.</w:t>
      </w:r>
      <w:r w:rsidR="00320F6D">
        <w:t xml:space="preserve">  Here are </w:t>
      </w:r>
      <w:r w:rsidR="00BA7E94">
        <w:t>three</w:t>
      </w:r>
      <w:r w:rsidR="00320F6D">
        <w:t xml:space="preserve"> of the standard examples:</w:t>
      </w:r>
    </w:p>
    <w:p w14:paraId="0A24BEB4" w14:textId="77777777" w:rsidR="009B2457" w:rsidRDefault="00FB42C5" w:rsidP="00320F6D">
      <w:pPr>
        <w:pStyle w:val="ListParagraph"/>
        <w:numPr>
          <w:ilvl w:val="0"/>
          <w:numId w:val="11"/>
        </w:numPr>
        <w:spacing w:line="480" w:lineRule="auto"/>
      </w:pPr>
      <w:r>
        <w:t>Religious belief</w:t>
      </w:r>
      <w:r w:rsidR="00320F6D">
        <w:t xml:space="preserve"> makes us intolerant.  </w:t>
      </w:r>
      <w:r w:rsidR="00CA1AD4">
        <w:t>If this were true, perhaps the value of being religious would be countered by the disvalue</w:t>
      </w:r>
      <w:r w:rsidR="00320F6D">
        <w:t xml:space="preserve"> of being religious</w:t>
      </w:r>
      <w:r w:rsidR="00CA1AD4">
        <w:t xml:space="preserve"> in way that would undermine the case of this paper. </w:t>
      </w:r>
      <w:r w:rsidR="009B2457">
        <w:t xml:space="preserve"> However, the common stereotype</w:t>
      </w:r>
      <w:r w:rsidR="00CA1AD4">
        <w:t xml:space="preserve"> </w:t>
      </w:r>
      <w:r w:rsidR="009B2457">
        <w:t>doesn’t</w:t>
      </w:r>
      <w:r w:rsidR="00CA1AD4">
        <w:t xml:space="preserve"> hold up to </w:t>
      </w:r>
      <w:r w:rsidR="00622B4A">
        <w:t xml:space="preserve">rigorous </w:t>
      </w:r>
      <w:r w:rsidR="00CA1AD4">
        <w:t>empirical investigation.  For instance, it actually turns out that p</w:t>
      </w:r>
      <w:r w:rsidR="00A02B89">
        <w:t xml:space="preserve">eople who are spiritually committed are </w:t>
      </w:r>
      <w:r w:rsidR="00A02B89" w:rsidRPr="00320F6D">
        <w:rPr>
          <w:i/>
        </w:rPr>
        <w:t>more</w:t>
      </w:r>
      <w:r w:rsidR="00A02B89">
        <w:t xml:space="preserve"> likely to be tolerant of other people and races (Gallup 1985, p. 169).</w:t>
      </w:r>
      <w:r w:rsidR="00CA1AD4">
        <w:t xml:space="preserve">  </w:t>
      </w:r>
    </w:p>
    <w:p w14:paraId="3EB4AF32" w14:textId="77777777" w:rsidR="009B2457" w:rsidRDefault="00FB42C5" w:rsidP="00320F6D">
      <w:pPr>
        <w:pStyle w:val="ListParagraph"/>
        <w:numPr>
          <w:ilvl w:val="0"/>
          <w:numId w:val="11"/>
        </w:numPr>
        <w:spacing w:line="480" w:lineRule="auto"/>
      </w:pPr>
      <w:r>
        <w:t>Religious belief</w:t>
      </w:r>
      <w:r w:rsidR="009B2457">
        <w:t xml:space="preserve"> makes us intellectually dishonest.  </w:t>
      </w:r>
      <w:r>
        <w:t xml:space="preserve">The idea here is that if you are a theist you’ve somehow committed an intellectual </w:t>
      </w:r>
      <w:r w:rsidRPr="00FB42C5">
        <w:rPr>
          <w:i/>
        </w:rPr>
        <w:t>faux pas</w:t>
      </w:r>
      <w:r>
        <w:t xml:space="preserve"> or failed to recognize the world for what it is or built your life around a lie.  Since it’s bad to do these things, the </w:t>
      </w:r>
      <w:r>
        <w:lastRenderedPageBreak/>
        <w:t>value of religious belief is swamped by the disvalue of religious belief.  The problem with this objection is that it obviously begs the question.  The religious believer could offer precisely the same objection to the atheist.</w:t>
      </w:r>
    </w:p>
    <w:p w14:paraId="34B1E6A9" w14:textId="78A46C86" w:rsidR="00FB42C5" w:rsidRDefault="00FB42C5" w:rsidP="00320F6D">
      <w:pPr>
        <w:pStyle w:val="ListParagraph"/>
        <w:numPr>
          <w:ilvl w:val="0"/>
          <w:numId w:val="11"/>
        </w:numPr>
        <w:spacing w:line="480" w:lineRule="auto"/>
      </w:pPr>
      <w:r>
        <w:t xml:space="preserve">Religious belief </w:t>
      </w:r>
      <w:r w:rsidR="00622B4A">
        <w:t xml:space="preserve">hurts others.  One could call this “the Crusade objection” since the Crusades are often offered as examples of how religion can harm others, but </w:t>
      </w:r>
      <w:r w:rsidR="00BA7E94">
        <w:t>we could include the inquisition, the destruction of native peoples across the globe, 9/11 and many, many more</w:t>
      </w:r>
      <w:r w:rsidR="00F251BF">
        <w:t xml:space="preserve"> </w:t>
      </w:r>
      <w:r w:rsidR="00F251BF" w:rsidRPr="00F251BF">
        <w:rPr>
          <w:vertAlign w:val="superscript"/>
        </w:rPr>
        <w:t>5</w:t>
      </w:r>
      <w:r w:rsidR="00622B4A">
        <w:t>.</w:t>
      </w:r>
      <w:r w:rsidR="00BA7E94">
        <w:t xml:space="preserve"> The central problem with all such historical citations is two-fold.  First, in all the cases that I have reviewed, if it is a religious belief that is causing the harm, it is not the belief that God exists but some auxiliary belief like ‘God wants me to kill the heathens’</w:t>
      </w:r>
      <w:r w:rsidR="00701E0A">
        <w:t xml:space="preserve"> that is efficacious</w:t>
      </w:r>
      <w:r w:rsidR="00BA7E94">
        <w:t xml:space="preserve">.  </w:t>
      </w:r>
      <w:r w:rsidR="00701E0A">
        <w:t xml:space="preserve">But this is irrelevant for my purposes.  </w:t>
      </w:r>
      <w:r w:rsidR="00BA7E94">
        <w:t>The argument of this paper is certainly not that it is in our best interest to hold EVERY religious belief.  I have focused on theistic belief and theistic rel</w:t>
      </w:r>
      <w:r w:rsidR="00701E0A">
        <w:t>igious practices.  Second, despite protests to the contrary, it is implausible that religious belief is efficacious in many of the hackneyed examples on offer.  Take the Crusades as an example.  It is more plausible that the Crusades were caused by greed and knowledge of trade routes rather than religion no matter what the Crusaders themselves thought.  Similarly, it is more plausible that the recent war in Iraq was caused by greed and knowledge of oil reserves rather than for freedom and democracy no matter what the soldiers themselves thought.</w:t>
      </w:r>
    </w:p>
    <w:p w14:paraId="27EA9E8A" w14:textId="77777777" w:rsidR="00A02B89" w:rsidRDefault="009B2457" w:rsidP="009B2457">
      <w:pPr>
        <w:spacing w:line="480" w:lineRule="auto"/>
      </w:pPr>
      <w:r>
        <w:t>So at best</w:t>
      </w:r>
      <w:r w:rsidR="00CA1AD4">
        <w:t xml:space="preserve"> this objection </w:t>
      </w:r>
      <w:r w:rsidR="00B05FFA">
        <w:t>represents a second call</w:t>
      </w:r>
      <w:r w:rsidR="00CA1AD4">
        <w:t xml:space="preserve"> for further research: are there ways in which belief in God</w:t>
      </w:r>
      <w:r w:rsidR="00701E0A">
        <w:t xml:space="preserve"> (as opposed to other religious belief)</w:t>
      </w:r>
      <w:r w:rsidR="00CA1AD4">
        <w:t xml:space="preserve"> significantly impairs our ability to achieve important goals?</w:t>
      </w:r>
      <w:r w:rsidR="00701E0A">
        <w:t xml:space="preserve">  If so, we should develop rigorous empirical evidence to demonstrate this rather than </w:t>
      </w:r>
      <w:r w:rsidR="00B05FFA">
        <w:t>hand waving.</w:t>
      </w:r>
    </w:p>
    <w:p w14:paraId="6ED0CFFF" w14:textId="77777777" w:rsidR="00251462" w:rsidRDefault="00251462" w:rsidP="0017114F">
      <w:pPr>
        <w:spacing w:line="480" w:lineRule="auto"/>
      </w:pPr>
      <w:r w:rsidRPr="00701E0A">
        <w:rPr>
          <w:b/>
        </w:rPr>
        <w:t>4.</w:t>
      </w:r>
      <w:r w:rsidR="00DC75A1" w:rsidRPr="00701E0A">
        <w:rPr>
          <w:b/>
        </w:rPr>
        <w:t>5</w:t>
      </w:r>
      <w:r w:rsidR="00CA1AD4" w:rsidRPr="00701E0A">
        <w:rPr>
          <w:b/>
        </w:rPr>
        <w:t xml:space="preserve"> Objection:</w:t>
      </w:r>
      <w:r w:rsidR="00CA1AD4">
        <w:t xml:space="preserve"> But i</w:t>
      </w:r>
      <w:r>
        <w:t xml:space="preserve">t’s not </w:t>
      </w:r>
      <w:r w:rsidRPr="00AC7F70">
        <w:rPr>
          <w:i/>
        </w:rPr>
        <w:t>belief</w:t>
      </w:r>
      <w:r>
        <w:t xml:space="preserve"> in God that matters</w:t>
      </w:r>
      <w:r w:rsidR="00CA1AD4">
        <w:t xml:space="preserve"> but </w:t>
      </w:r>
      <w:r w:rsidR="00AC7F70">
        <w:t xml:space="preserve">the </w:t>
      </w:r>
      <w:r w:rsidR="00AC7F70" w:rsidRPr="00AC7F70">
        <w:rPr>
          <w:i/>
        </w:rPr>
        <w:t>practice</w:t>
      </w:r>
      <w:r w:rsidR="00AC7F70">
        <w:t xml:space="preserve"> of a religion that matters</w:t>
      </w:r>
      <w:r w:rsidR="00CA1AD4">
        <w:t>!</w:t>
      </w:r>
    </w:p>
    <w:p w14:paraId="5BC86EDC" w14:textId="77777777" w:rsidR="00AC7F70" w:rsidRDefault="00251462" w:rsidP="001F7C72">
      <w:pPr>
        <w:spacing w:line="480" w:lineRule="auto"/>
      </w:pPr>
      <w:r>
        <w:lastRenderedPageBreak/>
        <w:t xml:space="preserve">Reply: </w:t>
      </w:r>
      <w:r w:rsidR="001F7C72">
        <w:t>Three</w:t>
      </w:r>
      <w:r w:rsidR="00AC7F70">
        <w:t xml:space="preserve"> things may be said in response to this objection.  First, theistic belief may well be a necessary condition for many of religious practices</w:t>
      </w:r>
      <w:r w:rsidR="001F7C72">
        <w:t xml:space="preserve">.  It’s difficult to see how participation in the Eucharist could have the same kind of psycho-somatic effect on believers and non-believers.  </w:t>
      </w:r>
      <w:r w:rsidR="00AC7F70">
        <w:t xml:space="preserve">Second, all of the empirical studies cited in </w:t>
      </w:r>
      <w:r w:rsidR="00AC7F70" w:rsidRPr="00323819">
        <w:rPr>
          <w:rFonts w:ascii="Calibri" w:hAnsi="Calibri"/>
        </w:rPr>
        <w:t>§</w:t>
      </w:r>
      <w:r w:rsidR="00AC7F70">
        <w:t>3 of the paper were done in the United States where the overwhelming majority of religious people are theists.  So the data collected so far seems to track theistic belief just as well as it tracks religious practice.</w:t>
      </w:r>
    </w:p>
    <w:p w14:paraId="3351C643" w14:textId="77777777" w:rsidR="00BA71E3" w:rsidRDefault="001F7C72" w:rsidP="00AC7F70">
      <w:pPr>
        <w:spacing w:line="480" w:lineRule="auto"/>
        <w:ind w:firstLine="720"/>
      </w:pPr>
      <w:r>
        <w:t>But, t</w:t>
      </w:r>
      <w:r w:rsidR="00AC7F70">
        <w:t xml:space="preserve">hird, it should be granted that there is something important about this objection.  </w:t>
      </w:r>
      <w:r w:rsidR="00251462">
        <w:t>Social scientists vary widely in what they measure.  Some look for actual belief in God.  Others characterize their measurements as spiritual commitment, religious participation, or religiosity</w:t>
      </w:r>
      <w:r w:rsidR="00CA1AD4">
        <w:t xml:space="preserve"> (whatever that is)</w:t>
      </w:r>
      <w:r w:rsidR="00251462">
        <w:t xml:space="preserve">.  These are not all the same thing.  It might turn out that what is really important is religious </w:t>
      </w:r>
      <w:r w:rsidR="00251462" w:rsidRPr="00CA1AD4">
        <w:rPr>
          <w:i/>
        </w:rPr>
        <w:t>practice</w:t>
      </w:r>
      <w:r w:rsidR="00251462">
        <w:t xml:space="preserve"> instead of religious </w:t>
      </w:r>
      <w:r w:rsidR="00251462" w:rsidRPr="00CA1AD4">
        <w:rPr>
          <w:i/>
        </w:rPr>
        <w:t>belief</w:t>
      </w:r>
      <w:r w:rsidR="00251462">
        <w:t xml:space="preserve">.  And even if it turns out that it is religious </w:t>
      </w:r>
      <w:r w:rsidR="00251462" w:rsidRPr="00CA1AD4">
        <w:rPr>
          <w:i/>
        </w:rPr>
        <w:t>belief</w:t>
      </w:r>
      <w:r w:rsidR="00251462">
        <w:t xml:space="preserve"> that matters, this might not </w:t>
      </w:r>
      <w:r w:rsidR="00B05FFA">
        <w:t>be</w:t>
      </w:r>
      <w:r w:rsidR="00251462">
        <w:t xml:space="preserve"> belief in </w:t>
      </w:r>
      <w:r w:rsidR="00251462" w:rsidRPr="00CA1AD4">
        <w:rPr>
          <w:i/>
        </w:rPr>
        <w:t>God</w:t>
      </w:r>
      <w:r w:rsidR="00251462">
        <w:t>.</w:t>
      </w:r>
      <w:r w:rsidR="00C652EC">
        <w:t xml:space="preserve">  This</w:t>
      </w:r>
      <w:r w:rsidR="00CA1AD4">
        <w:t xml:space="preserve"> objection highlights </w:t>
      </w:r>
      <w:r w:rsidR="00B05FFA">
        <w:t>a third call for</w:t>
      </w:r>
      <w:r w:rsidR="00C652EC">
        <w:t xml:space="preserve"> new research: do the benefits described in </w:t>
      </w:r>
      <w:r w:rsidR="00C652EC" w:rsidRPr="00323819">
        <w:rPr>
          <w:rFonts w:ascii="Calibri" w:hAnsi="Calibri"/>
        </w:rPr>
        <w:t>§</w:t>
      </w:r>
      <w:r w:rsidR="00C652EC">
        <w:t xml:space="preserve">3 co-vary with religious </w:t>
      </w:r>
      <w:r w:rsidR="00C652EC" w:rsidRPr="00C652EC">
        <w:rPr>
          <w:i/>
        </w:rPr>
        <w:t>belief</w:t>
      </w:r>
      <w:r w:rsidR="00C652EC">
        <w:t xml:space="preserve"> (if so, which ones?) or religious </w:t>
      </w:r>
      <w:r w:rsidR="00C652EC" w:rsidRPr="00C652EC">
        <w:rPr>
          <w:i/>
        </w:rPr>
        <w:t>practice</w:t>
      </w:r>
      <w:r w:rsidR="00C652EC">
        <w:t xml:space="preserve"> (if so, which ones?)?  </w:t>
      </w:r>
      <w:r w:rsidR="00B05FFA">
        <w:t>And while such research might undermine the thesis of this paper that belief in God is good for you, i</w:t>
      </w:r>
      <w:r w:rsidR="00C652EC">
        <w:t xml:space="preserve">t would still be an interesting conclusion if a renewed wager could show that we have strong prudential reasons to </w:t>
      </w:r>
      <w:r w:rsidR="00C652EC" w:rsidRPr="00350686">
        <w:rPr>
          <w:i/>
        </w:rPr>
        <w:t>practice</w:t>
      </w:r>
      <w:r w:rsidR="00C652EC">
        <w:t xml:space="preserve"> a religion, even if it didn’t go as far as belief in God.</w:t>
      </w:r>
      <w:r w:rsidR="00BA71E3">
        <w:br w:type="page"/>
      </w:r>
    </w:p>
    <w:p w14:paraId="632FD819" w14:textId="77777777" w:rsidR="00BA71E3" w:rsidRDefault="00BA71E3" w:rsidP="00BA71E3">
      <w:r>
        <w:lastRenderedPageBreak/>
        <w:t>Acknowledgements: [excerpted for blind review]</w:t>
      </w:r>
    </w:p>
    <w:p w14:paraId="3D82162B" w14:textId="77777777" w:rsidR="00BA71E3" w:rsidRDefault="00BA71E3" w:rsidP="00BA71E3"/>
    <w:p w14:paraId="4299365B" w14:textId="77777777" w:rsidR="00BA71E3" w:rsidRDefault="00BA71E3" w:rsidP="00BA71E3">
      <w:pPr>
        <w:rPr>
          <w:b/>
          <w:u w:val="single"/>
        </w:rPr>
      </w:pPr>
      <w:r w:rsidRPr="00346642">
        <w:rPr>
          <w:b/>
          <w:u w:val="single"/>
        </w:rPr>
        <w:t>References</w:t>
      </w:r>
    </w:p>
    <w:p w14:paraId="0AC70685" w14:textId="77777777" w:rsidR="00B9234E" w:rsidRPr="00B21ADC" w:rsidRDefault="00B9234E" w:rsidP="00BA71E3">
      <w:r>
        <w:t>Batson</w:t>
      </w:r>
      <w:r w:rsidR="00B21ADC">
        <w:t xml:space="preserve">, C. Daniel, Patricia </w:t>
      </w:r>
      <w:proofErr w:type="spellStart"/>
      <w:r w:rsidR="00B21ADC">
        <w:t>Schoenrade</w:t>
      </w:r>
      <w:proofErr w:type="spellEnd"/>
      <w:r w:rsidR="00B21ADC">
        <w:t xml:space="preserve">, W. Larry </w:t>
      </w:r>
      <w:proofErr w:type="spellStart"/>
      <w:r w:rsidR="00B21ADC">
        <w:t>Ventis</w:t>
      </w:r>
      <w:proofErr w:type="spellEnd"/>
      <w:r w:rsidR="00B21ADC">
        <w:t xml:space="preserve">. 1993. </w:t>
      </w:r>
      <w:r w:rsidR="00B21ADC">
        <w:rPr>
          <w:i/>
        </w:rPr>
        <w:t xml:space="preserve">Religion and the Individual: A Social-Psychological Perspective. </w:t>
      </w:r>
      <w:r w:rsidR="00B21ADC">
        <w:t>Oxford: Oxford University Press.</w:t>
      </w:r>
    </w:p>
    <w:p w14:paraId="1051DE68" w14:textId="77777777" w:rsidR="000D5A73" w:rsidRPr="000D5A73" w:rsidRDefault="000D5A73" w:rsidP="00BA71E3">
      <w:r>
        <w:t xml:space="preserve">Call, Vaughn R. A., Tim Heaton. 1997. “Religious Influence on Marital Stability.” </w:t>
      </w:r>
      <w:r>
        <w:rPr>
          <w:i/>
        </w:rPr>
        <w:t>Journal for the Scientific Study of Religion</w:t>
      </w:r>
      <w:r>
        <w:t>. 36(3): 382-392.</w:t>
      </w:r>
    </w:p>
    <w:p w14:paraId="2FCDF733" w14:textId="77777777" w:rsidR="00CE7CCF" w:rsidRDefault="00CE7CCF" w:rsidP="00BA71E3">
      <w:r>
        <w:t xml:space="preserve">Donahue, Michael, Peter Benson. 1995. “Religion and the Well-Being of Adolescents.” </w:t>
      </w:r>
      <w:r>
        <w:rPr>
          <w:i/>
        </w:rPr>
        <w:t>Journal of Social Issues</w:t>
      </w:r>
      <w:r>
        <w:t xml:space="preserve"> 51(2): 145-160.</w:t>
      </w:r>
    </w:p>
    <w:p w14:paraId="0B913AF2" w14:textId="77777777" w:rsidR="00793F69" w:rsidRDefault="00793F69" w:rsidP="00BA71E3">
      <w:r>
        <w:t xml:space="preserve">Ellison, Christopher G., John P. </w:t>
      </w:r>
      <w:proofErr w:type="spellStart"/>
      <w:r>
        <w:t>Bartkowski</w:t>
      </w:r>
      <w:proofErr w:type="spellEnd"/>
      <w:r>
        <w:t xml:space="preserve">, Kristin L. Anderson. 1997. “Are there Religious Variations in Domestic Violence?” </w:t>
      </w:r>
      <w:r>
        <w:rPr>
          <w:i/>
        </w:rPr>
        <w:t>Journal of Family Issues</w:t>
      </w:r>
      <w:r>
        <w:t xml:space="preserve"> 20: 87-113.</w:t>
      </w:r>
    </w:p>
    <w:p w14:paraId="5D8EFA1A" w14:textId="77777777" w:rsidR="000D5A73" w:rsidRDefault="000D5A73" w:rsidP="00BA71E3">
      <w:r>
        <w:t xml:space="preserve">Fagan, </w:t>
      </w:r>
      <w:r w:rsidR="00793F69">
        <w:t xml:space="preserve">Patrick F., Althea Nagai. 2014. “Adultery by Religious Attendance.” </w:t>
      </w:r>
      <w:r w:rsidR="00793F69" w:rsidRPr="00793F69">
        <w:rPr>
          <w:i/>
        </w:rPr>
        <w:t>Mapping America: Marriage, Religion, and the Common Good Number 173.</w:t>
      </w:r>
      <w:r w:rsidR="00793F69">
        <w:t xml:space="preserve"> </w:t>
      </w:r>
      <w:r w:rsidR="00793F69" w:rsidRPr="00793F69">
        <w:rPr>
          <w:u w:val="single"/>
        </w:rPr>
        <w:t>http://downloads.frc.org/EF/EF09J34.pdf</w:t>
      </w:r>
      <w:r w:rsidR="00793F69">
        <w:t xml:space="preserve"> (accessed 16 July 2014).</w:t>
      </w:r>
    </w:p>
    <w:p w14:paraId="511DAD62" w14:textId="77777777" w:rsidR="002E2A83" w:rsidRDefault="00CE7CCF" w:rsidP="00BA71E3">
      <w:r>
        <w:t>G</w:t>
      </w:r>
      <w:r w:rsidR="00346642">
        <w:t xml:space="preserve">allup. 1985. “Religion in America.” </w:t>
      </w:r>
      <w:r w:rsidR="00346642" w:rsidRPr="00346642">
        <w:rPr>
          <w:i/>
        </w:rPr>
        <w:t>The Annals of the American Academy of Political and Social Science</w:t>
      </w:r>
      <w:r w:rsidR="00346642">
        <w:t xml:space="preserve"> 480:</w:t>
      </w:r>
      <w:r w:rsidR="00F916C7">
        <w:t xml:space="preserve"> </w:t>
      </w:r>
      <w:r w:rsidR="00346642">
        <w:t>167-174.</w:t>
      </w:r>
    </w:p>
    <w:p w14:paraId="7A915EB1" w14:textId="77777777" w:rsidR="00007B0F" w:rsidRPr="00007B0F" w:rsidRDefault="00930A55" w:rsidP="00BA71E3">
      <w:r>
        <w:t xml:space="preserve">Hitchens, Christopher.  </w:t>
      </w:r>
      <w:r w:rsidR="00007B0F">
        <w:t xml:space="preserve">2007.  </w:t>
      </w:r>
      <w:r w:rsidR="00007B0F">
        <w:rPr>
          <w:i/>
        </w:rPr>
        <w:t>God is Not Great: How Religion Poisons Everything.</w:t>
      </w:r>
      <w:r w:rsidR="00007B0F">
        <w:t xml:space="preserve">  New York: Twelve (Hachette Book Group).</w:t>
      </w:r>
    </w:p>
    <w:p w14:paraId="35EAA131" w14:textId="77777777" w:rsidR="00F916C7" w:rsidRPr="00F916C7" w:rsidRDefault="00F916C7" w:rsidP="00BA71E3">
      <w:r>
        <w:t xml:space="preserve">Hummer, Robert A., Richard G. Rogers, Charles B. Nam, Christopher G. Ellison. 1999. “Religious Involvement and U.S. Adult Mortality.” </w:t>
      </w:r>
      <w:r>
        <w:rPr>
          <w:i/>
        </w:rPr>
        <w:t>Demography</w:t>
      </w:r>
      <w:r>
        <w:t xml:space="preserve"> 36(2): 273-285.</w:t>
      </w:r>
    </w:p>
    <w:p w14:paraId="05369611" w14:textId="77777777" w:rsidR="004525F3" w:rsidRDefault="00CC26F7" w:rsidP="00BA71E3">
      <w:r>
        <w:t xml:space="preserve">Jordan, Jeff.  1994. </w:t>
      </w:r>
      <w:r w:rsidRPr="00346642">
        <w:rPr>
          <w:i/>
        </w:rPr>
        <w:t>Gambling on God: Essays on Pascal’s Wager</w:t>
      </w:r>
      <w:r>
        <w:t xml:space="preserve">. Lanham, MD: </w:t>
      </w:r>
      <w:proofErr w:type="spellStart"/>
      <w:r>
        <w:t>Rowman</w:t>
      </w:r>
      <w:proofErr w:type="spellEnd"/>
      <w:r>
        <w:t xml:space="preserve"> &amp; Littlefield.</w:t>
      </w:r>
    </w:p>
    <w:p w14:paraId="1A27C5AC" w14:textId="77777777" w:rsidR="004525F3" w:rsidRDefault="00CC26F7" w:rsidP="00BA71E3">
      <w:r>
        <w:t>---------------</w:t>
      </w:r>
      <w:r w:rsidR="0056421B">
        <w:t>.</w:t>
      </w:r>
      <w:r w:rsidR="004525F3">
        <w:t xml:space="preserve"> 2006</w:t>
      </w:r>
      <w:r w:rsidR="0056421B">
        <w:t xml:space="preserve">. </w:t>
      </w:r>
      <w:r w:rsidR="0056421B">
        <w:rPr>
          <w:i/>
        </w:rPr>
        <w:t>Pascal’s Wager: Pragmatic Arguments and Belief in God.</w:t>
      </w:r>
      <w:r w:rsidR="0056421B">
        <w:t xml:space="preserve"> New York: Oxford University Press.</w:t>
      </w:r>
    </w:p>
    <w:p w14:paraId="02D71382" w14:textId="77777777" w:rsidR="00F916C7" w:rsidRDefault="00F916C7" w:rsidP="00BA71E3">
      <w:proofErr w:type="spellStart"/>
      <w:r>
        <w:t>Kendler</w:t>
      </w:r>
      <w:proofErr w:type="spellEnd"/>
      <w:r>
        <w:t xml:space="preserve">, Kenneth S., Xiao-Qing Liu, Charles O. Gardner, Michael E. McCullough, David Larson, Carol A. Prescott. 2003. “Dimensions of </w:t>
      </w:r>
      <w:proofErr w:type="spellStart"/>
      <w:r>
        <w:t>Religiousity</w:t>
      </w:r>
      <w:proofErr w:type="spellEnd"/>
      <w:r>
        <w:t xml:space="preserve"> and their Relationship to Lifetime Psychiatric and Substance Use Disorders.”</w:t>
      </w:r>
      <w:r w:rsidR="00CE7CCF">
        <w:t xml:space="preserve"> </w:t>
      </w:r>
      <w:r w:rsidR="00CE7CCF">
        <w:rPr>
          <w:i/>
        </w:rPr>
        <w:t>American Journal of Psychiatry</w:t>
      </w:r>
      <w:r w:rsidR="00CE7CCF">
        <w:t xml:space="preserve"> 160(3): 496-503.</w:t>
      </w:r>
    </w:p>
    <w:p w14:paraId="1014024D" w14:textId="77777777" w:rsidR="00B9234E" w:rsidRDefault="00B9234E" w:rsidP="00BA71E3">
      <w:r>
        <w:t xml:space="preserve">Koenig, Harold. 1998. </w:t>
      </w:r>
      <w:r>
        <w:rPr>
          <w:i/>
        </w:rPr>
        <w:t>Handbook of Religion and Mental Health</w:t>
      </w:r>
      <w:r>
        <w:t>. San Diego: Academic Press.</w:t>
      </w:r>
    </w:p>
    <w:p w14:paraId="6AA8ED8F" w14:textId="77777777" w:rsidR="00B7623B" w:rsidRPr="00B7623B" w:rsidRDefault="00B7623B" w:rsidP="00BA71E3">
      <w:r>
        <w:t xml:space="preserve">Koenig, Harold, Michael E. McCullough, David B. Larson. 2001. </w:t>
      </w:r>
      <w:r>
        <w:rPr>
          <w:i/>
        </w:rPr>
        <w:t>Handbook of Religion and Health</w:t>
      </w:r>
      <w:r>
        <w:t>. Oxford: Oxford University Press.</w:t>
      </w:r>
    </w:p>
    <w:p w14:paraId="6DAE7085" w14:textId="77777777" w:rsidR="00800991" w:rsidRPr="00800991" w:rsidRDefault="00323B11" w:rsidP="00800991">
      <w:proofErr w:type="spellStart"/>
      <w:r>
        <w:t>Kristeller</w:t>
      </w:r>
      <w:proofErr w:type="spellEnd"/>
      <w:r>
        <w:t>, Jean L., Virgil Sheets, Tom Johnson, Betsy Frank</w:t>
      </w:r>
      <w:r w:rsidR="00800991">
        <w:t>. 2011. “</w:t>
      </w:r>
      <w:r>
        <w:t>Understanding Religious and Spiritual Influences on Adjustment to Cancer: Individual Patterns and Differences</w:t>
      </w:r>
      <w:r w:rsidR="00800991">
        <w:t xml:space="preserve">.” </w:t>
      </w:r>
      <w:r w:rsidR="00800991">
        <w:rPr>
          <w:i/>
        </w:rPr>
        <w:t>Journal of Behavioral Medicine</w:t>
      </w:r>
      <w:r w:rsidR="00800991">
        <w:t xml:space="preserve"> 34(6): </w:t>
      </w:r>
      <w:r>
        <w:t>550-561</w:t>
      </w:r>
      <w:r w:rsidR="00800991">
        <w:t>.</w:t>
      </w:r>
    </w:p>
    <w:p w14:paraId="581F9BE5" w14:textId="77777777" w:rsidR="000D5A73" w:rsidRPr="000D5A73" w:rsidRDefault="000D5A73" w:rsidP="00BA71E3">
      <w:proofErr w:type="spellStart"/>
      <w:r>
        <w:t>Laubmeier</w:t>
      </w:r>
      <w:proofErr w:type="spellEnd"/>
      <w:r>
        <w:t xml:space="preserve">, K.K., S.G. </w:t>
      </w:r>
      <w:proofErr w:type="spellStart"/>
      <w:r>
        <w:t>Zakowski</w:t>
      </w:r>
      <w:proofErr w:type="spellEnd"/>
      <w:r>
        <w:t xml:space="preserve">, J.P. Bair. 2004. “The Role of Spirituality in the Psychological Adjustment to Cancer: A Test of the Transactional Model of Stress and Coping.” </w:t>
      </w:r>
      <w:r>
        <w:rPr>
          <w:i/>
        </w:rPr>
        <w:t>International Journal of Behavioral Medicine</w:t>
      </w:r>
      <w:r>
        <w:t xml:space="preserve"> 11(1): 48-55.</w:t>
      </w:r>
    </w:p>
    <w:p w14:paraId="4FAC8A84" w14:textId="77777777" w:rsidR="000D5A73" w:rsidRPr="000D5A73" w:rsidRDefault="000D5A73" w:rsidP="00BA71E3">
      <w:r>
        <w:lastRenderedPageBreak/>
        <w:t xml:space="preserve">Lutz, Franz, </w:t>
      </w:r>
      <w:proofErr w:type="spellStart"/>
      <w:r>
        <w:t>Heidemarie</w:t>
      </w:r>
      <w:proofErr w:type="spellEnd"/>
      <w:r>
        <w:t xml:space="preserve"> Kremer, Gail </w:t>
      </w:r>
      <w:proofErr w:type="spellStart"/>
      <w:r>
        <w:t>Ironson</w:t>
      </w:r>
      <w:proofErr w:type="spellEnd"/>
      <w:r>
        <w:t xml:space="preserve">. 2011. “Being Diagnosed with HIV as a Trigger for Spiritual Transformation.” </w:t>
      </w:r>
      <w:r>
        <w:rPr>
          <w:i/>
        </w:rPr>
        <w:t>Religions</w:t>
      </w:r>
      <w:r>
        <w:t xml:space="preserve"> 2(3): 398-409.</w:t>
      </w:r>
    </w:p>
    <w:p w14:paraId="294ABA21" w14:textId="77777777" w:rsidR="00411171" w:rsidRDefault="00346642" w:rsidP="00BA71E3">
      <w:r>
        <w:t xml:space="preserve">McCullough, Michael E., David Larson, William T. Hoyt, Harold G. Koenig, Carl E. </w:t>
      </w:r>
      <w:proofErr w:type="spellStart"/>
      <w:r>
        <w:t>Thoresen</w:t>
      </w:r>
      <w:proofErr w:type="spellEnd"/>
      <w:r>
        <w:t xml:space="preserve">. 2000. “Religious Involvement and Mortality: A Meta-Analytic Review.” </w:t>
      </w:r>
      <w:r w:rsidR="00E511BB" w:rsidRPr="00E511BB">
        <w:rPr>
          <w:i/>
        </w:rPr>
        <w:t>Health Psychology</w:t>
      </w:r>
      <w:r w:rsidR="00E511BB">
        <w:t xml:space="preserve"> 19(3):</w:t>
      </w:r>
      <w:r w:rsidR="00F916C7">
        <w:t xml:space="preserve"> </w:t>
      </w:r>
      <w:r w:rsidR="00E511BB">
        <w:t>211-222.</w:t>
      </w:r>
    </w:p>
    <w:p w14:paraId="32D3451A" w14:textId="77777777" w:rsidR="00CE7CCF" w:rsidRPr="00CE7CCF" w:rsidRDefault="00CE7CCF" w:rsidP="00BA71E3">
      <w:r>
        <w:t xml:space="preserve">Miller, Lisa, Virginia Warner, </w:t>
      </w:r>
      <w:proofErr w:type="spellStart"/>
      <w:r>
        <w:t>Priya</w:t>
      </w:r>
      <w:proofErr w:type="spellEnd"/>
      <w:r>
        <w:t xml:space="preserve"> </w:t>
      </w:r>
      <w:proofErr w:type="spellStart"/>
      <w:r>
        <w:t>Wickramaratne</w:t>
      </w:r>
      <w:proofErr w:type="spellEnd"/>
      <w:r>
        <w:t xml:space="preserve">, Myrna </w:t>
      </w:r>
      <w:proofErr w:type="spellStart"/>
      <w:r>
        <w:t>Weissman</w:t>
      </w:r>
      <w:proofErr w:type="spellEnd"/>
      <w:r>
        <w:t>. 1997. “</w:t>
      </w:r>
      <w:proofErr w:type="spellStart"/>
      <w:r>
        <w:t>Religiousity</w:t>
      </w:r>
      <w:proofErr w:type="spellEnd"/>
      <w:r>
        <w:t xml:space="preserve"> and Depression: Ten-Year Follow-Up of Depressed Mothers and Offspring.” </w:t>
      </w:r>
      <w:r>
        <w:rPr>
          <w:i/>
        </w:rPr>
        <w:t xml:space="preserve">Journal of the American Academy of Child and Adolescent Psychiatry </w:t>
      </w:r>
      <w:r>
        <w:t>36(10): 1,416-1,425.</w:t>
      </w:r>
    </w:p>
    <w:p w14:paraId="6E0ECA5D" w14:textId="77777777" w:rsidR="00E511BB" w:rsidRPr="00F916C7" w:rsidRDefault="00E511BB" w:rsidP="00BA71E3">
      <w:proofErr w:type="spellStart"/>
      <w:r>
        <w:t>Nisbet</w:t>
      </w:r>
      <w:proofErr w:type="spellEnd"/>
      <w:r>
        <w:t xml:space="preserve">, P.A., P.R. </w:t>
      </w:r>
      <w:r w:rsidRPr="00F916C7">
        <w:t xml:space="preserve">Duberstein, Y. Conwell, L. </w:t>
      </w:r>
      <w:proofErr w:type="spellStart"/>
      <w:r w:rsidRPr="00F916C7">
        <w:t>Seidlitz</w:t>
      </w:r>
      <w:proofErr w:type="spellEnd"/>
      <w:r w:rsidRPr="00F916C7">
        <w:t xml:space="preserve">. 2000. “The Effect of Participation in Religious Activities on Suicide versus Natural Death in Adults 50 and Older.” </w:t>
      </w:r>
      <w:r w:rsidR="00EA582D" w:rsidRPr="00F916C7">
        <w:rPr>
          <w:i/>
        </w:rPr>
        <w:t>The</w:t>
      </w:r>
      <w:r w:rsidR="00EA582D" w:rsidRPr="00F916C7">
        <w:t xml:space="preserve"> </w:t>
      </w:r>
      <w:r w:rsidRPr="00F916C7">
        <w:rPr>
          <w:i/>
        </w:rPr>
        <w:t xml:space="preserve">Journal of Nervous </w:t>
      </w:r>
      <w:r w:rsidR="00EA582D" w:rsidRPr="00F916C7">
        <w:rPr>
          <w:i/>
        </w:rPr>
        <w:t xml:space="preserve">and </w:t>
      </w:r>
      <w:r w:rsidRPr="00F916C7">
        <w:rPr>
          <w:i/>
        </w:rPr>
        <w:t xml:space="preserve">Mental </w:t>
      </w:r>
      <w:r w:rsidR="00EA582D" w:rsidRPr="00F916C7">
        <w:rPr>
          <w:i/>
        </w:rPr>
        <w:t>Disease</w:t>
      </w:r>
      <w:r w:rsidRPr="00F916C7">
        <w:t xml:space="preserve"> 188(8):</w:t>
      </w:r>
      <w:r w:rsidR="00F916C7" w:rsidRPr="00F916C7">
        <w:t xml:space="preserve"> </w:t>
      </w:r>
      <w:r w:rsidRPr="00F916C7">
        <w:t>543-546.</w:t>
      </w:r>
    </w:p>
    <w:p w14:paraId="48763C68" w14:textId="77777777" w:rsidR="00ED6A80" w:rsidRPr="00F916C7" w:rsidRDefault="00EA582D" w:rsidP="00BA71E3">
      <w:pPr>
        <w:rPr>
          <w:rFonts w:cs="Arial"/>
          <w:color w:val="000000"/>
          <w:shd w:val="clear" w:color="auto" w:fill="FFFFFF"/>
        </w:rPr>
      </w:pPr>
      <w:r w:rsidRPr="00F916C7">
        <w:rPr>
          <w:rFonts w:cs="Arial"/>
          <w:color w:val="000000"/>
          <w:shd w:val="clear" w:color="auto" w:fill="FFFFFF"/>
        </w:rPr>
        <w:t xml:space="preserve">Norton, Maria, </w:t>
      </w:r>
      <w:proofErr w:type="spellStart"/>
      <w:r w:rsidRPr="00F916C7">
        <w:rPr>
          <w:rFonts w:cs="Arial"/>
          <w:color w:val="000000"/>
          <w:shd w:val="clear" w:color="auto" w:fill="FFFFFF"/>
        </w:rPr>
        <w:t>Archana</w:t>
      </w:r>
      <w:proofErr w:type="spellEnd"/>
      <w:r w:rsidRPr="00F916C7">
        <w:rPr>
          <w:rFonts w:cs="Arial"/>
          <w:color w:val="000000"/>
          <w:shd w:val="clear" w:color="auto" w:fill="FFFFFF"/>
        </w:rPr>
        <w:t xml:space="preserve"> Singh, Ingmar </w:t>
      </w:r>
      <w:proofErr w:type="spellStart"/>
      <w:r w:rsidRPr="00F916C7">
        <w:rPr>
          <w:rFonts w:cs="Arial"/>
          <w:color w:val="000000"/>
          <w:shd w:val="clear" w:color="auto" w:fill="FFFFFF"/>
        </w:rPr>
        <w:t>Skoog</w:t>
      </w:r>
      <w:proofErr w:type="spellEnd"/>
      <w:r w:rsidRPr="00F916C7">
        <w:rPr>
          <w:rFonts w:cs="Arial"/>
          <w:color w:val="000000"/>
          <w:shd w:val="clear" w:color="auto" w:fill="FFFFFF"/>
        </w:rPr>
        <w:t xml:space="preserve">, Christopher Corcoran, JoAnn </w:t>
      </w:r>
      <w:proofErr w:type="spellStart"/>
      <w:r w:rsidRPr="00F916C7">
        <w:rPr>
          <w:rFonts w:cs="Arial"/>
          <w:color w:val="000000"/>
          <w:shd w:val="clear" w:color="auto" w:fill="FFFFFF"/>
        </w:rPr>
        <w:t>Tschanz</w:t>
      </w:r>
      <w:proofErr w:type="spellEnd"/>
      <w:r w:rsidRPr="00F916C7">
        <w:rPr>
          <w:rFonts w:cs="Arial"/>
          <w:color w:val="000000"/>
          <w:shd w:val="clear" w:color="auto" w:fill="FFFFFF"/>
        </w:rPr>
        <w:t xml:space="preserve">, Peter </w:t>
      </w:r>
      <w:proofErr w:type="spellStart"/>
      <w:r w:rsidRPr="00F916C7">
        <w:rPr>
          <w:rFonts w:cs="Arial"/>
          <w:color w:val="000000"/>
          <w:shd w:val="clear" w:color="auto" w:fill="FFFFFF"/>
        </w:rPr>
        <w:t>Zandi</w:t>
      </w:r>
      <w:proofErr w:type="spellEnd"/>
      <w:r w:rsidRPr="00F916C7">
        <w:rPr>
          <w:rFonts w:cs="Arial"/>
          <w:color w:val="000000"/>
          <w:shd w:val="clear" w:color="auto" w:fill="FFFFFF"/>
        </w:rPr>
        <w:t xml:space="preserve">, John C.S. </w:t>
      </w:r>
      <w:proofErr w:type="spellStart"/>
      <w:r w:rsidRPr="00F916C7">
        <w:rPr>
          <w:rFonts w:cs="Arial"/>
          <w:color w:val="000000"/>
          <w:shd w:val="clear" w:color="auto" w:fill="FFFFFF"/>
        </w:rPr>
        <w:t>Breitner</w:t>
      </w:r>
      <w:proofErr w:type="spellEnd"/>
      <w:r w:rsidRPr="00F916C7">
        <w:rPr>
          <w:rFonts w:cs="Arial"/>
          <w:color w:val="000000"/>
          <w:shd w:val="clear" w:color="auto" w:fill="FFFFFF"/>
        </w:rPr>
        <w:t>, Kathleen A. Welsh-</w:t>
      </w:r>
      <w:proofErr w:type="spellStart"/>
      <w:r w:rsidRPr="00F916C7">
        <w:rPr>
          <w:rFonts w:cs="Arial"/>
          <w:color w:val="000000"/>
          <w:shd w:val="clear" w:color="auto" w:fill="FFFFFF"/>
        </w:rPr>
        <w:t>Bohmer</w:t>
      </w:r>
      <w:proofErr w:type="spellEnd"/>
      <w:r w:rsidRPr="00F916C7">
        <w:rPr>
          <w:rFonts w:cs="Arial"/>
          <w:color w:val="000000"/>
          <w:shd w:val="clear" w:color="auto" w:fill="FFFFFF"/>
        </w:rPr>
        <w:t xml:space="preserve">, David C. </w:t>
      </w:r>
      <w:proofErr w:type="spellStart"/>
      <w:r w:rsidRPr="00F916C7">
        <w:rPr>
          <w:rFonts w:cs="Arial"/>
          <w:color w:val="000000"/>
          <w:shd w:val="clear" w:color="auto" w:fill="FFFFFF"/>
        </w:rPr>
        <w:t>Steffans</w:t>
      </w:r>
      <w:proofErr w:type="spellEnd"/>
      <w:r w:rsidRPr="00F916C7">
        <w:rPr>
          <w:rFonts w:cs="Arial"/>
          <w:color w:val="000000"/>
          <w:shd w:val="clear" w:color="auto" w:fill="FFFFFF"/>
        </w:rPr>
        <w:t>, The Cache County Investigators. 2008. “Church Attendance and New Episodes of Major Depression in a Community Study of Older Adults: The Cache County Study.”</w:t>
      </w:r>
      <w:r w:rsidRPr="00F916C7">
        <w:rPr>
          <w:rFonts w:cs="Arial"/>
          <w:i/>
          <w:color w:val="000000"/>
          <w:shd w:val="clear" w:color="auto" w:fill="FFFFFF"/>
        </w:rPr>
        <w:t xml:space="preserve"> The Journals of Gerontology, Series B: Psychological Sciences and Social Sciences</w:t>
      </w:r>
      <w:r w:rsidRPr="00F916C7">
        <w:rPr>
          <w:rFonts w:cs="Arial"/>
          <w:color w:val="000000"/>
          <w:shd w:val="clear" w:color="auto" w:fill="FFFFFF"/>
        </w:rPr>
        <w:t xml:space="preserve"> 63(3):</w:t>
      </w:r>
      <w:r w:rsidR="00F916C7" w:rsidRPr="00F916C7">
        <w:rPr>
          <w:rFonts w:cs="Arial"/>
          <w:color w:val="000000"/>
          <w:shd w:val="clear" w:color="auto" w:fill="FFFFFF"/>
        </w:rPr>
        <w:t xml:space="preserve"> </w:t>
      </w:r>
      <w:r w:rsidRPr="00F916C7">
        <w:rPr>
          <w:rFonts w:cs="Arial"/>
          <w:color w:val="000000"/>
          <w:shd w:val="clear" w:color="auto" w:fill="FFFFFF"/>
        </w:rPr>
        <w:t>P129-P137.</w:t>
      </w:r>
    </w:p>
    <w:p w14:paraId="7AF84DE6" w14:textId="77777777" w:rsidR="0017114F" w:rsidRDefault="00F916C7" w:rsidP="00BA71E3">
      <w:r>
        <w:t xml:space="preserve">Oman, Doug, John H. </w:t>
      </w:r>
      <w:proofErr w:type="spellStart"/>
      <w:r>
        <w:t>Kurata</w:t>
      </w:r>
      <w:proofErr w:type="spellEnd"/>
      <w:r>
        <w:t xml:space="preserve">, William J. Strawbridge, Richard D. Cohen. 2005. “Religious Attendance and Cause of Death over 31 Years.” </w:t>
      </w:r>
      <w:r>
        <w:rPr>
          <w:i/>
        </w:rPr>
        <w:t>International Journal of Psychiatry in Medicine</w:t>
      </w:r>
      <w:r>
        <w:t xml:space="preserve"> 31(1): 69-89.</w:t>
      </w:r>
    </w:p>
    <w:p w14:paraId="22D174E1" w14:textId="77777777" w:rsidR="00F3535B" w:rsidRPr="00800991" w:rsidRDefault="00F3535B" w:rsidP="00CE7CCF">
      <w:r>
        <w:t>Perez</w:t>
      </w:r>
      <w:r w:rsidR="00800991">
        <w:t xml:space="preserve">, John E., Amy Rex Smith, Rebecca L. Norris, Katia M. </w:t>
      </w:r>
      <w:proofErr w:type="spellStart"/>
      <w:r w:rsidR="00800991">
        <w:t>Canenguez</w:t>
      </w:r>
      <w:proofErr w:type="spellEnd"/>
      <w:r w:rsidR="00800991">
        <w:t xml:space="preserve">, Elizabeth F. Tracey, Susan B. </w:t>
      </w:r>
      <w:proofErr w:type="spellStart"/>
      <w:r w:rsidR="00800991">
        <w:t>DeCristofaro</w:t>
      </w:r>
      <w:proofErr w:type="spellEnd"/>
      <w:r w:rsidR="00800991">
        <w:t xml:space="preserve">. 2011. “Types of Prayer and Depressive Symptoms among Cancer Patients: The Mediating Role of Rumination and Social Support.” </w:t>
      </w:r>
      <w:r w:rsidR="00800991">
        <w:rPr>
          <w:i/>
        </w:rPr>
        <w:t>Journal of Behavioral Medicine</w:t>
      </w:r>
      <w:r w:rsidR="00800991">
        <w:t xml:space="preserve"> 34(6): 519-530.</w:t>
      </w:r>
    </w:p>
    <w:p w14:paraId="587DAD2F" w14:textId="77777777" w:rsidR="00614ACB" w:rsidRPr="00614ACB" w:rsidRDefault="00614ACB" w:rsidP="00CE7CCF">
      <w:proofErr w:type="spellStart"/>
      <w:r>
        <w:t>Schnall</w:t>
      </w:r>
      <w:proofErr w:type="spellEnd"/>
      <w:r>
        <w:t xml:space="preserve">, E., S. Kalkstein, G. </w:t>
      </w:r>
      <w:proofErr w:type="spellStart"/>
      <w:r>
        <w:t>Fitchett</w:t>
      </w:r>
      <w:proofErr w:type="spellEnd"/>
      <w:r>
        <w:t xml:space="preserve">, E. </w:t>
      </w:r>
      <w:proofErr w:type="spellStart"/>
      <w:r>
        <w:t>Salmoirago-Blotcher</w:t>
      </w:r>
      <w:proofErr w:type="spellEnd"/>
      <w:r>
        <w:t xml:space="preserve">, J. </w:t>
      </w:r>
      <w:proofErr w:type="spellStart"/>
      <w:r>
        <w:t>Ockene</w:t>
      </w:r>
      <w:proofErr w:type="spellEnd"/>
      <w:r>
        <w:t xml:space="preserve">, H.A. </w:t>
      </w:r>
      <w:proofErr w:type="spellStart"/>
      <w:r>
        <w:t>Tindle</w:t>
      </w:r>
      <w:proofErr w:type="spellEnd"/>
      <w:r>
        <w:t xml:space="preserve">, A. Thomas, J.R. Hunt, S. </w:t>
      </w:r>
      <w:proofErr w:type="spellStart"/>
      <w:r>
        <w:t>Wassertheil-Smoller</w:t>
      </w:r>
      <w:proofErr w:type="spellEnd"/>
      <w:r>
        <w:t xml:space="preserve">. 2012. “Psychological and Social Characteristics Associated with </w:t>
      </w:r>
      <w:proofErr w:type="spellStart"/>
      <w:r>
        <w:t>Religiousity</w:t>
      </w:r>
      <w:proofErr w:type="spellEnd"/>
      <w:r>
        <w:t xml:space="preserve"> in Women’s Health Initiative Participants.” </w:t>
      </w:r>
      <w:r>
        <w:rPr>
          <w:i/>
        </w:rPr>
        <w:t>Journal of Religion and Health</w:t>
      </w:r>
      <w:r>
        <w:t xml:space="preserve"> 51(1): 20-31.</w:t>
      </w:r>
    </w:p>
    <w:p w14:paraId="6869CEEB" w14:textId="77777777" w:rsidR="00450441" w:rsidRDefault="00450441" w:rsidP="00BA71E3">
      <w:proofErr w:type="spellStart"/>
      <w:r>
        <w:t>Schwitzgebel</w:t>
      </w:r>
      <w:proofErr w:type="spellEnd"/>
      <w:r>
        <w:t xml:space="preserve">, Eric. 2009. “Do Ethicists Steal More Books?” </w:t>
      </w:r>
      <w:r>
        <w:rPr>
          <w:i/>
        </w:rPr>
        <w:t>Philosophical Psychology</w:t>
      </w:r>
      <w:r>
        <w:t xml:space="preserve"> 22: 711-725.</w:t>
      </w:r>
    </w:p>
    <w:p w14:paraId="3E340E53" w14:textId="77777777" w:rsidR="00450441" w:rsidRDefault="00450441" w:rsidP="00BA71E3">
      <w:r>
        <w:t xml:space="preserve">______________. </w:t>
      </w:r>
      <w:r w:rsidR="001466BC">
        <w:t xml:space="preserve">2013. “Are Ethicists More Likely to Pay their Registration Fees at Professional Meetings?” </w:t>
      </w:r>
      <w:r w:rsidR="001466BC">
        <w:rPr>
          <w:i/>
        </w:rPr>
        <w:t>Economics &amp; Philosophy</w:t>
      </w:r>
      <w:r w:rsidR="001466BC">
        <w:t xml:space="preserve"> 29: 371-380.</w:t>
      </w:r>
    </w:p>
    <w:p w14:paraId="6E1650C7" w14:textId="77777777" w:rsidR="001466BC" w:rsidRDefault="001466BC" w:rsidP="00BA71E3">
      <w:proofErr w:type="spellStart"/>
      <w:r>
        <w:t>Schwitzgebel</w:t>
      </w:r>
      <w:proofErr w:type="spellEnd"/>
      <w:r>
        <w:t xml:space="preserve">, Eric, Joshua Rust. 2010. “Do Ethicists and Political Philosophers Vote More Often than Other Professors?” </w:t>
      </w:r>
      <w:r>
        <w:rPr>
          <w:i/>
        </w:rPr>
        <w:t>Review of Philosophy and Psychology</w:t>
      </w:r>
      <w:r>
        <w:t xml:space="preserve"> 1: 189-199.</w:t>
      </w:r>
    </w:p>
    <w:p w14:paraId="6925DF32" w14:textId="77777777" w:rsidR="001466BC" w:rsidRPr="001466BC" w:rsidRDefault="001466BC" w:rsidP="00BA71E3">
      <w:proofErr w:type="spellStart"/>
      <w:r>
        <w:t>Schwitzgebel</w:t>
      </w:r>
      <w:proofErr w:type="spellEnd"/>
      <w:r>
        <w:t xml:space="preserve">, Eric, Joshua Rust, Linus Huang, Alan Moore, Justin Coates. 2012. </w:t>
      </w:r>
      <w:r w:rsidRPr="001466BC">
        <w:rPr>
          <w:i/>
        </w:rPr>
        <w:t>Philosophical Psychology</w:t>
      </w:r>
      <w:r>
        <w:t xml:space="preserve"> 35: 331-340.</w:t>
      </w:r>
    </w:p>
    <w:p w14:paraId="6CF07992" w14:textId="77777777" w:rsidR="00957D32" w:rsidRDefault="00CE7CCF" w:rsidP="00BA71E3">
      <w:r w:rsidRPr="00F916C7">
        <w:t>Wilcox, Bradford W., Steven Nock. 2006. “What’s Love God to Do with it</w:t>
      </w:r>
      <w:proofErr w:type="gramStart"/>
      <w:r w:rsidRPr="00F916C7">
        <w:t>?:</w:t>
      </w:r>
      <w:proofErr w:type="gramEnd"/>
      <w:r w:rsidRPr="00F916C7">
        <w:t xml:space="preserve"> Equality, Equity, Commitment and Women’s Marital Quality.” </w:t>
      </w:r>
      <w:r w:rsidRPr="00F916C7">
        <w:rPr>
          <w:i/>
        </w:rPr>
        <w:t>Social Forces</w:t>
      </w:r>
      <w:r w:rsidRPr="00F916C7">
        <w:t xml:space="preserve"> 84(3): 1,321-1,345.</w:t>
      </w:r>
    </w:p>
    <w:p w14:paraId="62ED5EB8" w14:textId="77777777" w:rsidR="002202AE" w:rsidRDefault="002202AE" w:rsidP="00BA71E3"/>
    <w:p w14:paraId="4757A75D" w14:textId="77777777" w:rsidR="002202AE" w:rsidRDefault="002202AE" w:rsidP="00BA71E3"/>
    <w:p w14:paraId="08BC718E" w14:textId="77777777" w:rsidR="002202AE" w:rsidRDefault="002202AE" w:rsidP="00BA71E3"/>
    <w:p w14:paraId="4DFF48FB" w14:textId="77777777" w:rsidR="002202AE" w:rsidRDefault="002202AE" w:rsidP="002202AE">
      <w:r>
        <w:lastRenderedPageBreak/>
        <w:t>Endnotes:</w:t>
      </w:r>
    </w:p>
    <w:p w14:paraId="559FAA69" w14:textId="77777777" w:rsidR="002202AE" w:rsidRDefault="002202AE" w:rsidP="002202AE"/>
    <w:p w14:paraId="69596731" w14:textId="77777777" w:rsidR="002202AE" w:rsidRDefault="002202AE" w:rsidP="002202AE">
      <w:pPr>
        <w:pStyle w:val="FootnoteText"/>
      </w:pPr>
      <w:r>
        <w:t>1 I use ‘God’ in the traditional sense as a maximally honorific title describing the most perfect being possible.</w:t>
      </w:r>
    </w:p>
    <w:p w14:paraId="25D8B5F8" w14:textId="77777777" w:rsidR="002202AE" w:rsidRDefault="002202AE" w:rsidP="002202AE">
      <w:pPr>
        <w:pStyle w:val="FootnoteText"/>
      </w:pPr>
    </w:p>
    <w:p w14:paraId="05C9A58B" w14:textId="77777777" w:rsidR="002202AE" w:rsidRDefault="002202AE" w:rsidP="002202AE">
      <w:pPr>
        <w:pStyle w:val="FootnoteText"/>
      </w:pPr>
      <w:r>
        <w:t>2 Not all non-epistemic reasons need be prudential.  For example, I may have a reason to feed my children even if it doesn’t advance my own personal goals.  One might counter that even this instance DOES advance my goal of wanting my children to live.  If we expand ‘personal goal’ to include this sort of thing, then it turns out that ALL reasons are prudential reasons.  This won’t affect the substance of the argument in this paper.</w:t>
      </w:r>
    </w:p>
    <w:p w14:paraId="23E06CB0" w14:textId="77777777" w:rsidR="002202AE" w:rsidRDefault="002202AE" w:rsidP="002202AE">
      <w:pPr>
        <w:pStyle w:val="FootnoteText"/>
      </w:pPr>
    </w:p>
    <w:p w14:paraId="73B64F56" w14:textId="77777777" w:rsidR="002202AE" w:rsidRDefault="002202AE" w:rsidP="002202AE">
      <w:pPr>
        <w:pStyle w:val="FootnoteText"/>
      </w:pPr>
      <w:r>
        <w:t>3. Another example might be William James “Will to Believe.”  It’s not clear that James offers anything superior to Pascal, so I set him aside for the purposes of this paper.  Thanks to [removed for blind review] for flagging this.</w:t>
      </w:r>
    </w:p>
    <w:p w14:paraId="340E874F" w14:textId="77777777" w:rsidR="002202AE" w:rsidRDefault="002202AE" w:rsidP="002202AE">
      <w:pPr>
        <w:pStyle w:val="FootnoteText"/>
      </w:pPr>
    </w:p>
    <w:p w14:paraId="2C69BF49" w14:textId="77777777" w:rsidR="002202AE" w:rsidRDefault="002202AE" w:rsidP="002202AE">
      <w:pPr>
        <w:pStyle w:val="FootnoteText"/>
      </w:pPr>
      <w:r>
        <w:t>4. Thanks to [removed for blind review] for pressing this point.</w:t>
      </w:r>
    </w:p>
    <w:p w14:paraId="6FDC2856" w14:textId="77777777" w:rsidR="002202AE" w:rsidRDefault="002202AE" w:rsidP="002202AE"/>
    <w:p w14:paraId="6C045CC2" w14:textId="77777777" w:rsidR="002202AE" w:rsidRDefault="002202AE" w:rsidP="002202AE">
      <w:pPr>
        <w:pStyle w:val="FootnoteText"/>
      </w:pPr>
      <w:r>
        <w:t>5.</w:t>
      </w:r>
      <w:r w:rsidRPr="008D1E36">
        <w:t xml:space="preserve"> </w:t>
      </w:r>
      <w:r>
        <w:t xml:space="preserve">For a typical case, see Christopher Hitchens book </w:t>
      </w:r>
      <w:r w:rsidRPr="00622B4A">
        <w:rPr>
          <w:i/>
        </w:rPr>
        <w:t>God is Not Great</w:t>
      </w:r>
      <w:r>
        <w:t>, in particular chapter four.</w:t>
      </w:r>
    </w:p>
    <w:p w14:paraId="7E675F81" w14:textId="77777777" w:rsidR="002202AE" w:rsidRDefault="002202AE" w:rsidP="002202AE"/>
    <w:p w14:paraId="405D1519" w14:textId="77777777" w:rsidR="002202AE" w:rsidRPr="0056421B" w:rsidRDefault="002202AE" w:rsidP="00BA71E3">
      <w:bookmarkStart w:id="0" w:name="_GoBack"/>
      <w:bookmarkEnd w:id="0"/>
    </w:p>
    <w:sectPr w:rsidR="002202AE" w:rsidRPr="0056421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BF2E8" w14:textId="77777777" w:rsidR="0069750E" w:rsidRDefault="0069750E" w:rsidP="00613C0C">
      <w:pPr>
        <w:spacing w:after="0" w:line="240" w:lineRule="auto"/>
      </w:pPr>
      <w:r>
        <w:separator/>
      </w:r>
    </w:p>
  </w:endnote>
  <w:endnote w:type="continuationSeparator" w:id="0">
    <w:p w14:paraId="579DB255" w14:textId="77777777" w:rsidR="0069750E" w:rsidRDefault="0069750E" w:rsidP="0061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532936"/>
      <w:docPartObj>
        <w:docPartGallery w:val="Page Numbers (Bottom of Page)"/>
        <w:docPartUnique/>
      </w:docPartObj>
    </w:sdtPr>
    <w:sdtEndPr>
      <w:rPr>
        <w:noProof/>
      </w:rPr>
    </w:sdtEndPr>
    <w:sdtContent>
      <w:p w14:paraId="45881DCA" w14:textId="77777777" w:rsidR="00150F2D" w:rsidRDefault="00150F2D">
        <w:pPr>
          <w:pStyle w:val="Footer"/>
          <w:jc w:val="center"/>
        </w:pPr>
        <w:r>
          <w:fldChar w:fldCharType="begin"/>
        </w:r>
        <w:r>
          <w:instrText xml:space="preserve"> PAGE   \* MERGEFORMAT </w:instrText>
        </w:r>
        <w:r>
          <w:fldChar w:fldCharType="separate"/>
        </w:r>
        <w:r w:rsidR="002202AE">
          <w:rPr>
            <w:noProof/>
          </w:rPr>
          <w:t>20</w:t>
        </w:r>
        <w:r>
          <w:rPr>
            <w:noProof/>
          </w:rPr>
          <w:fldChar w:fldCharType="end"/>
        </w:r>
      </w:p>
    </w:sdtContent>
  </w:sdt>
  <w:p w14:paraId="11EBB7A9" w14:textId="77777777" w:rsidR="00150F2D" w:rsidRDefault="00150F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4D245" w14:textId="77777777" w:rsidR="0069750E" w:rsidRDefault="0069750E" w:rsidP="00613C0C">
      <w:pPr>
        <w:spacing w:after="0" w:line="240" w:lineRule="auto"/>
      </w:pPr>
      <w:r>
        <w:separator/>
      </w:r>
    </w:p>
  </w:footnote>
  <w:footnote w:type="continuationSeparator" w:id="0">
    <w:p w14:paraId="0D705D18" w14:textId="77777777" w:rsidR="0069750E" w:rsidRDefault="0069750E" w:rsidP="00613C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637F"/>
    <w:multiLevelType w:val="multilevel"/>
    <w:tmpl w:val="A6C4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A6747"/>
    <w:multiLevelType w:val="multilevel"/>
    <w:tmpl w:val="B8B2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10E9C"/>
    <w:multiLevelType w:val="hybridMultilevel"/>
    <w:tmpl w:val="3912F83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
    <w:nsid w:val="20C0164E"/>
    <w:multiLevelType w:val="multilevel"/>
    <w:tmpl w:val="B2C2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D02BB7"/>
    <w:multiLevelType w:val="multilevel"/>
    <w:tmpl w:val="6C6A9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1553D5"/>
    <w:multiLevelType w:val="multilevel"/>
    <w:tmpl w:val="B2D0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5C057B"/>
    <w:multiLevelType w:val="multilevel"/>
    <w:tmpl w:val="BD86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61CC6"/>
    <w:multiLevelType w:val="multilevel"/>
    <w:tmpl w:val="30CE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802CCE"/>
    <w:multiLevelType w:val="multilevel"/>
    <w:tmpl w:val="523E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795C9B"/>
    <w:multiLevelType w:val="multilevel"/>
    <w:tmpl w:val="0672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7B78A4"/>
    <w:multiLevelType w:val="multilevel"/>
    <w:tmpl w:val="E9A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5"/>
  </w:num>
  <w:num w:numId="5">
    <w:abstractNumId w:val="8"/>
  </w:num>
  <w:num w:numId="6">
    <w:abstractNumId w:val="9"/>
  </w:num>
  <w:num w:numId="7">
    <w:abstractNumId w:val="3"/>
  </w:num>
  <w:num w:numId="8">
    <w:abstractNumId w:val="6"/>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B0"/>
    <w:rsid w:val="00005649"/>
    <w:rsid w:val="00007B0F"/>
    <w:rsid w:val="000201FF"/>
    <w:rsid w:val="00061445"/>
    <w:rsid w:val="000D0D78"/>
    <w:rsid w:val="000D5A73"/>
    <w:rsid w:val="000F0D34"/>
    <w:rsid w:val="000F77FA"/>
    <w:rsid w:val="00110C22"/>
    <w:rsid w:val="00123206"/>
    <w:rsid w:val="001466BC"/>
    <w:rsid w:val="00150F2D"/>
    <w:rsid w:val="001519A1"/>
    <w:rsid w:val="0017114F"/>
    <w:rsid w:val="00181D43"/>
    <w:rsid w:val="00184359"/>
    <w:rsid w:val="001A5116"/>
    <w:rsid w:val="001A6002"/>
    <w:rsid w:val="001F785A"/>
    <w:rsid w:val="001F7C72"/>
    <w:rsid w:val="002024B5"/>
    <w:rsid w:val="002202AE"/>
    <w:rsid w:val="002236F8"/>
    <w:rsid w:val="00251462"/>
    <w:rsid w:val="00287C2A"/>
    <w:rsid w:val="002E2A83"/>
    <w:rsid w:val="00312D0D"/>
    <w:rsid w:val="00320F6D"/>
    <w:rsid w:val="00322DCA"/>
    <w:rsid w:val="00323B11"/>
    <w:rsid w:val="00331CB6"/>
    <w:rsid w:val="003373AB"/>
    <w:rsid w:val="003431DB"/>
    <w:rsid w:val="00346642"/>
    <w:rsid w:val="00350686"/>
    <w:rsid w:val="003508E0"/>
    <w:rsid w:val="0036283C"/>
    <w:rsid w:val="00383A82"/>
    <w:rsid w:val="00385A96"/>
    <w:rsid w:val="003C6F3B"/>
    <w:rsid w:val="00411171"/>
    <w:rsid w:val="00411AC0"/>
    <w:rsid w:val="00414C07"/>
    <w:rsid w:val="00450441"/>
    <w:rsid w:val="0045196B"/>
    <w:rsid w:val="004525F3"/>
    <w:rsid w:val="0046367A"/>
    <w:rsid w:val="004B2155"/>
    <w:rsid w:val="004C1FCF"/>
    <w:rsid w:val="004D5C14"/>
    <w:rsid w:val="005327C0"/>
    <w:rsid w:val="00536F21"/>
    <w:rsid w:val="0055375F"/>
    <w:rsid w:val="0056421B"/>
    <w:rsid w:val="005969E8"/>
    <w:rsid w:val="005A64DD"/>
    <w:rsid w:val="005C5839"/>
    <w:rsid w:val="006103E6"/>
    <w:rsid w:val="00613C0C"/>
    <w:rsid w:val="00614ACB"/>
    <w:rsid w:val="00622B4A"/>
    <w:rsid w:val="00626CC8"/>
    <w:rsid w:val="00646E99"/>
    <w:rsid w:val="0069750E"/>
    <w:rsid w:val="00701E0A"/>
    <w:rsid w:val="007569B7"/>
    <w:rsid w:val="007701E8"/>
    <w:rsid w:val="00793F69"/>
    <w:rsid w:val="007D1B56"/>
    <w:rsid w:val="007D2E62"/>
    <w:rsid w:val="007E4046"/>
    <w:rsid w:val="007F7478"/>
    <w:rsid w:val="00800991"/>
    <w:rsid w:val="00823CBB"/>
    <w:rsid w:val="008472FF"/>
    <w:rsid w:val="008962CF"/>
    <w:rsid w:val="00896D97"/>
    <w:rsid w:val="00906164"/>
    <w:rsid w:val="00915F92"/>
    <w:rsid w:val="00925119"/>
    <w:rsid w:val="00925EF2"/>
    <w:rsid w:val="00930A55"/>
    <w:rsid w:val="009506A5"/>
    <w:rsid w:val="009546A9"/>
    <w:rsid w:val="00957D32"/>
    <w:rsid w:val="0096117C"/>
    <w:rsid w:val="00964CEF"/>
    <w:rsid w:val="00983E06"/>
    <w:rsid w:val="00985E0A"/>
    <w:rsid w:val="009B2457"/>
    <w:rsid w:val="009D3F32"/>
    <w:rsid w:val="009E454A"/>
    <w:rsid w:val="009F024D"/>
    <w:rsid w:val="009F14B5"/>
    <w:rsid w:val="00A02B89"/>
    <w:rsid w:val="00A86FC0"/>
    <w:rsid w:val="00AA4B42"/>
    <w:rsid w:val="00AB2FE5"/>
    <w:rsid w:val="00AC54CA"/>
    <w:rsid w:val="00AC7F70"/>
    <w:rsid w:val="00B05FFA"/>
    <w:rsid w:val="00B21ADC"/>
    <w:rsid w:val="00B7623B"/>
    <w:rsid w:val="00B9234E"/>
    <w:rsid w:val="00B954CE"/>
    <w:rsid w:val="00B96459"/>
    <w:rsid w:val="00BA71E3"/>
    <w:rsid w:val="00BA7E94"/>
    <w:rsid w:val="00C14CC9"/>
    <w:rsid w:val="00C60130"/>
    <w:rsid w:val="00C652EC"/>
    <w:rsid w:val="00CA1AD4"/>
    <w:rsid w:val="00CA65E2"/>
    <w:rsid w:val="00CC26F7"/>
    <w:rsid w:val="00CC6B09"/>
    <w:rsid w:val="00CD4922"/>
    <w:rsid w:val="00CE7CCF"/>
    <w:rsid w:val="00D46781"/>
    <w:rsid w:val="00D74AB0"/>
    <w:rsid w:val="00D7704C"/>
    <w:rsid w:val="00D8393C"/>
    <w:rsid w:val="00DC378B"/>
    <w:rsid w:val="00DC75A1"/>
    <w:rsid w:val="00E04D5D"/>
    <w:rsid w:val="00E060CC"/>
    <w:rsid w:val="00E511BB"/>
    <w:rsid w:val="00E5402F"/>
    <w:rsid w:val="00E73A62"/>
    <w:rsid w:val="00E96324"/>
    <w:rsid w:val="00EA582D"/>
    <w:rsid w:val="00ED6A80"/>
    <w:rsid w:val="00EE6A1C"/>
    <w:rsid w:val="00F251BF"/>
    <w:rsid w:val="00F3535B"/>
    <w:rsid w:val="00F37A5F"/>
    <w:rsid w:val="00F549BB"/>
    <w:rsid w:val="00F6279E"/>
    <w:rsid w:val="00F84CC9"/>
    <w:rsid w:val="00F916C7"/>
    <w:rsid w:val="00FB42C5"/>
    <w:rsid w:val="00FB5598"/>
    <w:rsid w:val="00FB6C5B"/>
    <w:rsid w:val="00FE39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23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6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F3B"/>
    <w:rPr>
      <w:color w:val="0563C1" w:themeColor="hyperlink"/>
      <w:u w:val="single"/>
    </w:rPr>
  </w:style>
  <w:style w:type="paragraph" w:styleId="NoSpacing">
    <w:name w:val="No Spacing"/>
    <w:uiPriority w:val="1"/>
    <w:qFormat/>
    <w:rsid w:val="003C6F3B"/>
    <w:pPr>
      <w:spacing w:after="0" w:line="240" w:lineRule="auto"/>
    </w:pPr>
  </w:style>
  <w:style w:type="paragraph" w:styleId="Header">
    <w:name w:val="header"/>
    <w:basedOn w:val="Normal"/>
    <w:link w:val="HeaderChar"/>
    <w:uiPriority w:val="99"/>
    <w:unhideWhenUsed/>
    <w:rsid w:val="0061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C0C"/>
  </w:style>
  <w:style w:type="paragraph" w:styleId="Footer">
    <w:name w:val="footer"/>
    <w:basedOn w:val="Normal"/>
    <w:link w:val="FooterChar"/>
    <w:uiPriority w:val="99"/>
    <w:unhideWhenUsed/>
    <w:rsid w:val="0061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C0C"/>
  </w:style>
  <w:style w:type="table" w:styleId="TableGrid">
    <w:name w:val="Table Grid"/>
    <w:basedOn w:val="TableNormal"/>
    <w:uiPriority w:val="39"/>
    <w:rsid w:val="00F8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26F7"/>
  </w:style>
  <w:style w:type="character" w:styleId="Emphasis">
    <w:name w:val="Emphasis"/>
    <w:basedOn w:val="DefaultParagraphFont"/>
    <w:uiPriority w:val="20"/>
    <w:qFormat/>
    <w:rsid w:val="00CC26F7"/>
    <w:rPr>
      <w:i/>
      <w:iCs/>
    </w:rPr>
  </w:style>
  <w:style w:type="character" w:customStyle="1" w:styleId="cit-title">
    <w:name w:val="cit-title"/>
    <w:basedOn w:val="DefaultParagraphFont"/>
    <w:rsid w:val="000F0D34"/>
  </w:style>
  <w:style w:type="character" w:customStyle="1" w:styleId="site-title">
    <w:name w:val="site-title"/>
    <w:basedOn w:val="DefaultParagraphFont"/>
    <w:rsid w:val="000F0D34"/>
  </w:style>
  <w:style w:type="character" w:customStyle="1" w:styleId="cit-print-date">
    <w:name w:val="cit-print-date"/>
    <w:basedOn w:val="DefaultParagraphFont"/>
    <w:rsid w:val="000F0D34"/>
  </w:style>
  <w:style w:type="character" w:customStyle="1" w:styleId="cit-vol">
    <w:name w:val="cit-vol"/>
    <w:basedOn w:val="DefaultParagraphFont"/>
    <w:rsid w:val="000F0D34"/>
  </w:style>
  <w:style w:type="character" w:customStyle="1" w:styleId="cit-sep">
    <w:name w:val="cit-sep"/>
    <w:basedOn w:val="DefaultParagraphFont"/>
    <w:rsid w:val="000F0D34"/>
  </w:style>
  <w:style w:type="character" w:customStyle="1" w:styleId="cit-first-page">
    <w:name w:val="cit-first-page"/>
    <w:basedOn w:val="DefaultParagraphFont"/>
    <w:rsid w:val="000F0D34"/>
  </w:style>
  <w:style w:type="character" w:customStyle="1" w:styleId="cit-last-page">
    <w:name w:val="cit-last-page"/>
    <w:basedOn w:val="DefaultParagraphFont"/>
    <w:rsid w:val="000F0D34"/>
  </w:style>
  <w:style w:type="character" w:customStyle="1" w:styleId="Heading1Char">
    <w:name w:val="Heading 1 Char"/>
    <w:basedOn w:val="DefaultParagraphFont"/>
    <w:link w:val="Heading1"/>
    <w:uiPriority w:val="9"/>
    <w:rsid w:val="00ED6A80"/>
    <w:rPr>
      <w:rFonts w:ascii="Times New Roman" w:eastAsia="Times New Roman" w:hAnsi="Times New Roman" w:cs="Times New Roman"/>
      <w:b/>
      <w:bCs/>
      <w:kern w:val="36"/>
      <w:sz w:val="48"/>
      <w:szCs w:val="48"/>
    </w:rPr>
  </w:style>
  <w:style w:type="character" w:customStyle="1" w:styleId="cit">
    <w:name w:val="cit"/>
    <w:basedOn w:val="DefaultParagraphFont"/>
    <w:rsid w:val="002E2A83"/>
  </w:style>
  <w:style w:type="character" w:customStyle="1" w:styleId="fm-citation-ids-label">
    <w:name w:val="fm-citation-ids-label"/>
    <w:basedOn w:val="DefaultParagraphFont"/>
    <w:rsid w:val="002E2A83"/>
  </w:style>
  <w:style w:type="character" w:styleId="FollowedHyperlink">
    <w:name w:val="FollowedHyperlink"/>
    <w:basedOn w:val="DefaultParagraphFont"/>
    <w:uiPriority w:val="99"/>
    <w:semiHidden/>
    <w:unhideWhenUsed/>
    <w:rsid w:val="00896D97"/>
    <w:rPr>
      <w:color w:val="954F72" w:themeColor="followedHyperlink"/>
      <w:u w:val="single"/>
    </w:rPr>
  </w:style>
  <w:style w:type="paragraph" w:styleId="BalloonText">
    <w:name w:val="Balloon Text"/>
    <w:basedOn w:val="Normal"/>
    <w:link w:val="BalloonTextChar"/>
    <w:uiPriority w:val="99"/>
    <w:semiHidden/>
    <w:unhideWhenUsed/>
    <w:rsid w:val="00915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2"/>
    <w:rPr>
      <w:rFonts w:ascii="Segoe UI" w:hAnsi="Segoe UI" w:cs="Segoe UI"/>
      <w:sz w:val="18"/>
      <w:szCs w:val="18"/>
    </w:rPr>
  </w:style>
  <w:style w:type="paragraph" w:styleId="FootnoteText">
    <w:name w:val="footnote text"/>
    <w:basedOn w:val="Normal"/>
    <w:link w:val="FootnoteTextChar"/>
    <w:uiPriority w:val="99"/>
    <w:semiHidden/>
    <w:unhideWhenUsed/>
    <w:rsid w:val="0089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2CF"/>
    <w:rPr>
      <w:sz w:val="20"/>
      <w:szCs w:val="20"/>
    </w:rPr>
  </w:style>
  <w:style w:type="character" w:styleId="FootnoteReference">
    <w:name w:val="footnote reference"/>
    <w:basedOn w:val="DefaultParagraphFont"/>
    <w:uiPriority w:val="99"/>
    <w:semiHidden/>
    <w:unhideWhenUsed/>
    <w:rsid w:val="008962CF"/>
    <w:rPr>
      <w:vertAlign w:val="superscript"/>
    </w:rPr>
  </w:style>
  <w:style w:type="paragraph" w:styleId="ListParagraph">
    <w:name w:val="List Paragraph"/>
    <w:basedOn w:val="Normal"/>
    <w:uiPriority w:val="34"/>
    <w:qFormat/>
    <w:rsid w:val="00320F6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6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F3B"/>
    <w:rPr>
      <w:color w:val="0563C1" w:themeColor="hyperlink"/>
      <w:u w:val="single"/>
    </w:rPr>
  </w:style>
  <w:style w:type="paragraph" w:styleId="NoSpacing">
    <w:name w:val="No Spacing"/>
    <w:uiPriority w:val="1"/>
    <w:qFormat/>
    <w:rsid w:val="003C6F3B"/>
    <w:pPr>
      <w:spacing w:after="0" w:line="240" w:lineRule="auto"/>
    </w:pPr>
  </w:style>
  <w:style w:type="paragraph" w:styleId="Header">
    <w:name w:val="header"/>
    <w:basedOn w:val="Normal"/>
    <w:link w:val="HeaderChar"/>
    <w:uiPriority w:val="99"/>
    <w:unhideWhenUsed/>
    <w:rsid w:val="0061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C0C"/>
  </w:style>
  <w:style w:type="paragraph" w:styleId="Footer">
    <w:name w:val="footer"/>
    <w:basedOn w:val="Normal"/>
    <w:link w:val="FooterChar"/>
    <w:uiPriority w:val="99"/>
    <w:unhideWhenUsed/>
    <w:rsid w:val="0061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C0C"/>
  </w:style>
  <w:style w:type="table" w:styleId="TableGrid">
    <w:name w:val="Table Grid"/>
    <w:basedOn w:val="TableNormal"/>
    <w:uiPriority w:val="39"/>
    <w:rsid w:val="00F8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26F7"/>
  </w:style>
  <w:style w:type="character" w:styleId="Emphasis">
    <w:name w:val="Emphasis"/>
    <w:basedOn w:val="DefaultParagraphFont"/>
    <w:uiPriority w:val="20"/>
    <w:qFormat/>
    <w:rsid w:val="00CC26F7"/>
    <w:rPr>
      <w:i/>
      <w:iCs/>
    </w:rPr>
  </w:style>
  <w:style w:type="character" w:customStyle="1" w:styleId="cit-title">
    <w:name w:val="cit-title"/>
    <w:basedOn w:val="DefaultParagraphFont"/>
    <w:rsid w:val="000F0D34"/>
  </w:style>
  <w:style w:type="character" w:customStyle="1" w:styleId="site-title">
    <w:name w:val="site-title"/>
    <w:basedOn w:val="DefaultParagraphFont"/>
    <w:rsid w:val="000F0D34"/>
  </w:style>
  <w:style w:type="character" w:customStyle="1" w:styleId="cit-print-date">
    <w:name w:val="cit-print-date"/>
    <w:basedOn w:val="DefaultParagraphFont"/>
    <w:rsid w:val="000F0D34"/>
  </w:style>
  <w:style w:type="character" w:customStyle="1" w:styleId="cit-vol">
    <w:name w:val="cit-vol"/>
    <w:basedOn w:val="DefaultParagraphFont"/>
    <w:rsid w:val="000F0D34"/>
  </w:style>
  <w:style w:type="character" w:customStyle="1" w:styleId="cit-sep">
    <w:name w:val="cit-sep"/>
    <w:basedOn w:val="DefaultParagraphFont"/>
    <w:rsid w:val="000F0D34"/>
  </w:style>
  <w:style w:type="character" w:customStyle="1" w:styleId="cit-first-page">
    <w:name w:val="cit-first-page"/>
    <w:basedOn w:val="DefaultParagraphFont"/>
    <w:rsid w:val="000F0D34"/>
  </w:style>
  <w:style w:type="character" w:customStyle="1" w:styleId="cit-last-page">
    <w:name w:val="cit-last-page"/>
    <w:basedOn w:val="DefaultParagraphFont"/>
    <w:rsid w:val="000F0D34"/>
  </w:style>
  <w:style w:type="character" w:customStyle="1" w:styleId="Heading1Char">
    <w:name w:val="Heading 1 Char"/>
    <w:basedOn w:val="DefaultParagraphFont"/>
    <w:link w:val="Heading1"/>
    <w:uiPriority w:val="9"/>
    <w:rsid w:val="00ED6A80"/>
    <w:rPr>
      <w:rFonts w:ascii="Times New Roman" w:eastAsia="Times New Roman" w:hAnsi="Times New Roman" w:cs="Times New Roman"/>
      <w:b/>
      <w:bCs/>
      <w:kern w:val="36"/>
      <w:sz w:val="48"/>
      <w:szCs w:val="48"/>
    </w:rPr>
  </w:style>
  <w:style w:type="character" w:customStyle="1" w:styleId="cit">
    <w:name w:val="cit"/>
    <w:basedOn w:val="DefaultParagraphFont"/>
    <w:rsid w:val="002E2A83"/>
  </w:style>
  <w:style w:type="character" w:customStyle="1" w:styleId="fm-citation-ids-label">
    <w:name w:val="fm-citation-ids-label"/>
    <w:basedOn w:val="DefaultParagraphFont"/>
    <w:rsid w:val="002E2A83"/>
  </w:style>
  <w:style w:type="character" w:styleId="FollowedHyperlink">
    <w:name w:val="FollowedHyperlink"/>
    <w:basedOn w:val="DefaultParagraphFont"/>
    <w:uiPriority w:val="99"/>
    <w:semiHidden/>
    <w:unhideWhenUsed/>
    <w:rsid w:val="00896D97"/>
    <w:rPr>
      <w:color w:val="954F72" w:themeColor="followedHyperlink"/>
      <w:u w:val="single"/>
    </w:rPr>
  </w:style>
  <w:style w:type="paragraph" w:styleId="BalloonText">
    <w:name w:val="Balloon Text"/>
    <w:basedOn w:val="Normal"/>
    <w:link w:val="BalloonTextChar"/>
    <w:uiPriority w:val="99"/>
    <w:semiHidden/>
    <w:unhideWhenUsed/>
    <w:rsid w:val="00915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2"/>
    <w:rPr>
      <w:rFonts w:ascii="Segoe UI" w:hAnsi="Segoe UI" w:cs="Segoe UI"/>
      <w:sz w:val="18"/>
      <w:szCs w:val="18"/>
    </w:rPr>
  </w:style>
  <w:style w:type="paragraph" w:styleId="FootnoteText">
    <w:name w:val="footnote text"/>
    <w:basedOn w:val="Normal"/>
    <w:link w:val="FootnoteTextChar"/>
    <w:uiPriority w:val="99"/>
    <w:semiHidden/>
    <w:unhideWhenUsed/>
    <w:rsid w:val="0089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2CF"/>
    <w:rPr>
      <w:sz w:val="20"/>
      <w:szCs w:val="20"/>
    </w:rPr>
  </w:style>
  <w:style w:type="character" w:styleId="FootnoteReference">
    <w:name w:val="footnote reference"/>
    <w:basedOn w:val="DefaultParagraphFont"/>
    <w:uiPriority w:val="99"/>
    <w:semiHidden/>
    <w:unhideWhenUsed/>
    <w:rsid w:val="008962CF"/>
    <w:rPr>
      <w:vertAlign w:val="superscript"/>
    </w:rPr>
  </w:style>
  <w:style w:type="paragraph" w:styleId="ListParagraph">
    <w:name w:val="List Paragraph"/>
    <w:basedOn w:val="Normal"/>
    <w:uiPriority w:val="34"/>
    <w:qFormat/>
    <w:rsid w:val="0032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668">
      <w:bodyDiv w:val="1"/>
      <w:marLeft w:val="0"/>
      <w:marRight w:val="0"/>
      <w:marTop w:val="0"/>
      <w:marBottom w:val="0"/>
      <w:divBdr>
        <w:top w:val="none" w:sz="0" w:space="0" w:color="auto"/>
        <w:left w:val="none" w:sz="0" w:space="0" w:color="auto"/>
        <w:bottom w:val="none" w:sz="0" w:space="0" w:color="auto"/>
        <w:right w:val="none" w:sz="0" w:space="0" w:color="auto"/>
      </w:divBdr>
    </w:div>
    <w:div w:id="322855009">
      <w:bodyDiv w:val="1"/>
      <w:marLeft w:val="0"/>
      <w:marRight w:val="0"/>
      <w:marTop w:val="0"/>
      <w:marBottom w:val="0"/>
      <w:divBdr>
        <w:top w:val="none" w:sz="0" w:space="0" w:color="auto"/>
        <w:left w:val="none" w:sz="0" w:space="0" w:color="auto"/>
        <w:bottom w:val="none" w:sz="0" w:space="0" w:color="auto"/>
        <w:right w:val="none" w:sz="0" w:space="0" w:color="auto"/>
      </w:divBdr>
    </w:div>
    <w:div w:id="324557075">
      <w:bodyDiv w:val="1"/>
      <w:marLeft w:val="0"/>
      <w:marRight w:val="0"/>
      <w:marTop w:val="0"/>
      <w:marBottom w:val="0"/>
      <w:divBdr>
        <w:top w:val="none" w:sz="0" w:space="0" w:color="auto"/>
        <w:left w:val="none" w:sz="0" w:space="0" w:color="auto"/>
        <w:bottom w:val="none" w:sz="0" w:space="0" w:color="auto"/>
        <w:right w:val="none" w:sz="0" w:space="0" w:color="auto"/>
      </w:divBdr>
    </w:div>
    <w:div w:id="386495681">
      <w:bodyDiv w:val="1"/>
      <w:marLeft w:val="0"/>
      <w:marRight w:val="0"/>
      <w:marTop w:val="0"/>
      <w:marBottom w:val="0"/>
      <w:divBdr>
        <w:top w:val="none" w:sz="0" w:space="0" w:color="auto"/>
        <w:left w:val="none" w:sz="0" w:space="0" w:color="auto"/>
        <w:bottom w:val="none" w:sz="0" w:space="0" w:color="auto"/>
        <w:right w:val="none" w:sz="0" w:space="0" w:color="auto"/>
      </w:divBdr>
    </w:div>
    <w:div w:id="406852632">
      <w:bodyDiv w:val="1"/>
      <w:marLeft w:val="0"/>
      <w:marRight w:val="0"/>
      <w:marTop w:val="0"/>
      <w:marBottom w:val="0"/>
      <w:divBdr>
        <w:top w:val="none" w:sz="0" w:space="0" w:color="auto"/>
        <w:left w:val="none" w:sz="0" w:space="0" w:color="auto"/>
        <w:bottom w:val="none" w:sz="0" w:space="0" w:color="auto"/>
        <w:right w:val="none" w:sz="0" w:space="0" w:color="auto"/>
      </w:divBdr>
    </w:div>
    <w:div w:id="494616821">
      <w:bodyDiv w:val="1"/>
      <w:marLeft w:val="0"/>
      <w:marRight w:val="0"/>
      <w:marTop w:val="0"/>
      <w:marBottom w:val="0"/>
      <w:divBdr>
        <w:top w:val="none" w:sz="0" w:space="0" w:color="auto"/>
        <w:left w:val="none" w:sz="0" w:space="0" w:color="auto"/>
        <w:bottom w:val="none" w:sz="0" w:space="0" w:color="auto"/>
        <w:right w:val="none" w:sz="0" w:space="0" w:color="auto"/>
      </w:divBdr>
      <w:divsChild>
        <w:div w:id="328752935">
          <w:marLeft w:val="0"/>
          <w:marRight w:val="0"/>
          <w:marTop w:val="0"/>
          <w:marBottom w:val="166"/>
          <w:divBdr>
            <w:top w:val="none" w:sz="0" w:space="0" w:color="auto"/>
            <w:left w:val="none" w:sz="0" w:space="0" w:color="auto"/>
            <w:bottom w:val="none" w:sz="0" w:space="0" w:color="auto"/>
            <w:right w:val="none" w:sz="0" w:space="0" w:color="auto"/>
          </w:divBdr>
          <w:divsChild>
            <w:div w:id="1155685373">
              <w:marLeft w:val="0"/>
              <w:marRight w:val="0"/>
              <w:marTop w:val="0"/>
              <w:marBottom w:val="0"/>
              <w:divBdr>
                <w:top w:val="none" w:sz="0" w:space="0" w:color="auto"/>
                <w:left w:val="none" w:sz="0" w:space="0" w:color="auto"/>
                <w:bottom w:val="none" w:sz="0" w:space="0" w:color="auto"/>
                <w:right w:val="none" w:sz="0" w:space="0" w:color="auto"/>
              </w:divBdr>
              <w:divsChild>
                <w:div w:id="1871449672">
                  <w:marLeft w:val="0"/>
                  <w:marRight w:val="0"/>
                  <w:marTop w:val="0"/>
                  <w:marBottom w:val="0"/>
                  <w:divBdr>
                    <w:top w:val="none" w:sz="0" w:space="0" w:color="auto"/>
                    <w:left w:val="none" w:sz="0" w:space="0" w:color="auto"/>
                    <w:bottom w:val="none" w:sz="0" w:space="0" w:color="auto"/>
                    <w:right w:val="none" w:sz="0" w:space="0" w:color="auto"/>
                  </w:divBdr>
                  <w:divsChild>
                    <w:div w:id="841430943">
                      <w:marLeft w:val="0"/>
                      <w:marRight w:val="0"/>
                      <w:marTop w:val="0"/>
                      <w:marBottom w:val="0"/>
                      <w:divBdr>
                        <w:top w:val="none" w:sz="0" w:space="0" w:color="auto"/>
                        <w:left w:val="none" w:sz="0" w:space="0" w:color="auto"/>
                        <w:bottom w:val="none" w:sz="0" w:space="0" w:color="auto"/>
                        <w:right w:val="none" w:sz="0" w:space="0" w:color="auto"/>
                      </w:divBdr>
                    </w:div>
                    <w:div w:id="1815290383">
                      <w:marLeft w:val="0"/>
                      <w:marRight w:val="0"/>
                      <w:marTop w:val="0"/>
                      <w:marBottom w:val="0"/>
                      <w:divBdr>
                        <w:top w:val="none" w:sz="0" w:space="0" w:color="auto"/>
                        <w:left w:val="none" w:sz="0" w:space="0" w:color="auto"/>
                        <w:bottom w:val="none" w:sz="0" w:space="0" w:color="auto"/>
                        <w:right w:val="none" w:sz="0" w:space="0" w:color="auto"/>
                      </w:divBdr>
                    </w:div>
                    <w:div w:id="1775901714">
                      <w:marLeft w:val="240"/>
                      <w:marRight w:val="0"/>
                      <w:marTop w:val="0"/>
                      <w:marBottom w:val="0"/>
                      <w:divBdr>
                        <w:top w:val="none" w:sz="0" w:space="0" w:color="auto"/>
                        <w:left w:val="none" w:sz="0" w:space="0" w:color="auto"/>
                        <w:bottom w:val="none" w:sz="0" w:space="0" w:color="auto"/>
                        <w:right w:val="none" w:sz="0" w:space="0" w:color="auto"/>
                      </w:divBdr>
                      <w:divsChild>
                        <w:div w:id="5097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7807">
                  <w:marLeft w:val="0"/>
                  <w:marRight w:val="0"/>
                  <w:marTop w:val="0"/>
                  <w:marBottom w:val="0"/>
                  <w:divBdr>
                    <w:top w:val="none" w:sz="0" w:space="0" w:color="auto"/>
                    <w:left w:val="none" w:sz="0" w:space="0" w:color="auto"/>
                    <w:bottom w:val="none" w:sz="0" w:space="0" w:color="auto"/>
                    <w:right w:val="none" w:sz="0" w:space="0" w:color="auto"/>
                  </w:divBdr>
                  <w:divsChild>
                    <w:div w:id="1883903729">
                      <w:marLeft w:val="0"/>
                      <w:marRight w:val="0"/>
                      <w:marTop w:val="0"/>
                      <w:marBottom w:val="0"/>
                      <w:divBdr>
                        <w:top w:val="none" w:sz="0" w:space="0" w:color="auto"/>
                        <w:left w:val="none" w:sz="0" w:space="0" w:color="auto"/>
                        <w:bottom w:val="none" w:sz="0" w:space="0" w:color="auto"/>
                        <w:right w:val="none" w:sz="0" w:space="0" w:color="auto"/>
                      </w:divBdr>
                    </w:div>
                    <w:div w:id="5202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4721">
          <w:marLeft w:val="0"/>
          <w:marRight w:val="0"/>
          <w:marTop w:val="166"/>
          <w:marBottom w:val="166"/>
          <w:divBdr>
            <w:top w:val="none" w:sz="0" w:space="0" w:color="auto"/>
            <w:left w:val="none" w:sz="0" w:space="0" w:color="auto"/>
            <w:bottom w:val="none" w:sz="0" w:space="0" w:color="auto"/>
            <w:right w:val="none" w:sz="0" w:space="0" w:color="auto"/>
          </w:divBdr>
          <w:divsChild>
            <w:div w:id="23606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5885">
      <w:bodyDiv w:val="1"/>
      <w:marLeft w:val="0"/>
      <w:marRight w:val="0"/>
      <w:marTop w:val="0"/>
      <w:marBottom w:val="0"/>
      <w:divBdr>
        <w:top w:val="none" w:sz="0" w:space="0" w:color="auto"/>
        <w:left w:val="none" w:sz="0" w:space="0" w:color="auto"/>
        <w:bottom w:val="none" w:sz="0" w:space="0" w:color="auto"/>
        <w:right w:val="none" w:sz="0" w:space="0" w:color="auto"/>
      </w:divBdr>
    </w:div>
    <w:div w:id="828516062">
      <w:bodyDiv w:val="1"/>
      <w:marLeft w:val="0"/>
      <w:marRight w:val="0"/>
      <w:marTop w:val="0"/>
      <w:marBottom w:val="0"/>
      <w:divBdr>
        <w:top w:val="none" w:sz="0" w:space="0" w:color="auto"/>
        <w:left w:val="none" w:sz="0" w:space="0" w:color="auto"/>
        <w:bottom w:val="none" w:sz="0" w:space="0" w:color="auto"/>
        <w:right w:val="none" w:sz="0" w:space="0" w:color="auto"/>
      </w:divBdr>
    </w:div>
    <w:div w:id="994064634">
      <w:bodyDiv w:val="1"/>
      <w:marLeft w:val="0"/>
      <w:marRight w:val="0"/>
      <w:marTop w:val="0"/>
      <w:marBottom w:val="0"/>
      <w:divBdr>
        <w:top w:val="none" w:sz="0" w:space="0" w:color="auto"/>
        <w:left w:val="none" w:sz="0" w:space="0" w:color="auto"/>
        <w:bottom w:val="none" w:sz="0" w:space="0" w:color="auto"/>
        <w:right w:val="none" w:sz="0" w:space="0" w:color="auto"/>
      </w:divBdr>
    </w:div>
    <w:div w:id="1102409445">
      <w:bodyDiv w:val="1"/>
      <w:marLeft w:val="0"/>
      <w:marRight w:val="0"/>
      <w:marTop w:val="0"/>
      <w:marBottom w:val="0"/>
      <w:divBdr>
        <w:top w:val="none" w:sz="0" w:space="0" w:color="auto"/>
        <w:left w:val="none" w:sz="0" w:space="0" w:color="auto"/>
        <w:bottom w:val="none" w:sz="0" w:space="0" w:color="auto"/>
        <w:right w:val="none" w:sz="0" w:space="0" w:color="auto"/>
      </w:divBdr>
      <w:divsChild>
        <w:div w:id="1444031385">
          <w:marLeft w:val="0"/>
          <w:marRight w:val="0"/>
          <w:marTop w:val="0"/>
          <w:marBottom w:val="240"/>
          <w:divBdr>
            <w:top w:val="none" w:sz="0" w:space="0" w:color="auto"/>
            <w:left w:val="none" w:sz="0" w:space="0" w:color="auto"/>
            <w:bottom w:val="none" w:sz="0" w:space="0" w:color="auto"/>
            <w:right w:val="none" w:sz="0" w:space="0" w:color="auto"/>
          </w:divBdr>
        </w:div>
        <w:div w:id="325324885">
          <w:marLeft w:val="0"/>
          <w:marRight w:val="0"/>
          <w:marTop w:val="0"/>
          <w:marBottom w:val="120"/>
          <w:divBdr>
            <w:top w:val="none" w:sz="0" w:space="0" w:color="auto"/>
            <w:left w:val="none" w:sz="0" w:space="0" w:color="auto"/>
            <w:bottom w:val="none" w:sz="0" w:space="0" w:color="auto"/>
            <w:right w:val="none" w:sz="0" w:space="0" w:color="auto"/>
          </w:divBdr>
        </w:div>
        <w:div w:id="211621808">
          <w:marLeft w:val="0"/>
          <w:marRight w:val="120"/>
          <w:marTop w:val="0"/>
          <w:marBottom w:val="0"/>
          <w:divBdr>
            <w:top w:val="none" w:sz="0" w:space="0" w:color="auto"/>
            <w:left w:val="none" w:sz="0" w:space="0" w:color="auto"/>
            <w:bottom w:val="none" w:sz="0" w:space="0" w:color="auto"/>
            <w:right w:val="none" w:sz="0" w:space="0" w:color="auto"/>
          </w:divBdr>
        </w:div>
      </w:divsChild>
    </w:div>
    <w:div w:id="1348408475">
      <w:bodyDiv w:val="1"/>
      <w:marLeft w:val="0"/>
      <w:marRight w:val="0"/>
      <w:marTop w:val="0"/>
      <w:marBottom w:val="0"/>
      <w:divBdr>
        <w:top w:val="none" w:sz="0" w:space="0" w:color="auto"/>
        <w:left w:val="none" w:sz="0" w:space="0" w:color="auto"/>
        <w:bottom w:val="none" w:sz="0" w:space="0" w:color="auto"/>
        <w:right w:val="none" w:sz="0" w:space="0" w:color="auto"/>
      </w:divBdr>
      <w:divsChild>
        <w:div w:id="1085876721">
          <w:marLeft w:val="0"/>
          <w:marRight w:val="0"/>
          <w:marTop w:val="0"/>
          <w:marBottom w:val="0"/>
          <w:divBdr>
            <w:top w:val="none" w:sz="0" w:space="0" w:color="auto"/>
            <w:left w:val="none" w:sz="0" w:space="0" w:color="auto"/>
            <w:bottom w:val="none" w:sz="0" w:space="0" w:color="auto"/>
            <w:right w:val="none" w:sz="0" w:space="0" w:color="auto"/>
          </w:divBdr>
          <w:divsChild>
            <w:div w:id="492139723">
              <w:marLeft w:val="0"/>
              <w:marRight w:val="0"/>
              <w:marTop w:val="0"/>
              <w:marBottom w:val="0"/>
              <w:divBdr>
                <w:top w:val="none" w:sz="0" w:space="0" w:color="auto"/>
                <w:left w:val="none" w:sz="0" w:space="0" w:color="auto"/>
                <w:bottom w:val="none" w:sz="0" w:space="0" w:color="auto"/>
                <w:right w:val="none" w:sz="0" w:space="0" w:color="auto"/>
              </w:divBdr>
            </w:div>
          </w:divsChild>
        </w:div>
        <w:div w:id="1429078462">
          <w:marLeft w:val="0"/>
          <w:marRight w:val="0"/>
          <w:marTop w:val="0"/>
          <w:marBottom w:val="105"/>
          <w:divBdr>
            <w:top w:val="none" w:sz="0" w:space="0" w:color="auto"/>
            <w:left w:val="none" w:sz="0" w:space="0" w:color="auto"/>
            <w:bottom w:val="none" w:sz="0" w:space="0" w:color="auto"/>
            <w:right w:val="none" w:sz="0" w:space="0" w:color="auto"/>
          </w:divBdr>
        </w:div>
      </w:divsChild>
    </w:div>
    <w:div w:id="1556505539">
      <w:bodyDiv w:val="1"/>
      <w:marLeft w:val="0"/>
      <w:marRight w:val="0"/>
      <w:marTop w:val="0"/>
      <w:marBottom w:val="0"/>
      <w:divBdr>
        <w:top w:val="none" w:sz="0" w:space="0" w:color="auto"/>
        <w:left w:val="none" w:sz="0" w:space="0" w:color="auto"/>
        <w:bottom w:val="none" w:sz="0" w:space="0" w:color="auto"/>
        <w:right w:val="none" w:sz="0" w:space="0" w:color="auto"/>
      </w:divBdr>
    </w:div>
    <w:div w:id="1575890148">
      <w:bodyDiv w:val="1"/>
      <w:marLeft w:val="0"/>
      <w:marRight w:val="0"/>
      <w:marTop w:val="0"/>
      <w:marBottom w:val="0"/>
      <w:divBdr>
        <w:top w:val="none" w:sz="0" w:space="0" w:color="auto"/>
        <w:left w:val="none" w:sz="0" w:space="0" w:color="auto"/>
        <w:bottom w:val="none" w:sz="0" w:space="0" w:color="auto"/>
        <w:right w:val="none" w:sz="0" w:space="0" w:color="auto"/>
      </w:divBdr>
      <w:divsChild>
        <w:div w:id="2016762209">
          <w:marLeft w:val="0"/>
          <w:marRight w:val="0"/>
          <w:marTop w:val="0"/>
          <w:marBottom w:val="0"/>
          <w:divBdr>
            <w:top w:val="none" w:sz="0" w:space="0" w:color="auto"/>
            <w:left w:val="none" w:sz="0" w:space="0" w:color="auto"/>
            <w:bottom w:val="none" w:sz="0" w:space="0" w:color="auto"/>
            <w:right w:val="none" w:sz="0" w:space="0" w:color="auto"/>
          </w:divBdr>
          <w:divsChild>
            <w:div w:id="296031804">
              <w:marLeft w:val="0"/>
              <w:marRight w:val="0"/>
              <w:marTop w:val="0"/>
              <w:marBottom w:val="0"/>
              <w:divBdr>
                <w:top w:val="none" w:sz="0" w:space="0" w:color="auto"/>
                <w:left w:val="none" w:sz="0" w:space="0" w:color="auto"/>
                <w:bottom w:val="none" w:sz="0" w:space="0" w:color="auto"/>
                <w:right w:val="none" w:sz="0" w:space="0" w:color="auto"/>
              </w:divBdr>
            </w:div>
          </w:divsChild>
        </w:div>
        <w:div w:id="1125975116">
          <w:marLeft w:val="0"/>
          <w:marRight w:val="0"/>
          <w:marTop w:val="0"/>
          <w:marBottom w:val="105"/>
          <w:divBdr>
            <w:top w:val="none" w:sz="0" w:space="0" w:color="auto"/>
            <w:left w:val="none" w:sz="0" w:space="0" w:color="auto"/>
            <w:bottom w:val="none" w:sz="0" w:space="0" w:color="auto"/>
            <w:right w:val="none" w:sz="0" w:space="0" w:color="auto"/>
          </w:divBdr>
        </w:div>
      </w:divsChild>
    </w:div>
    <w:div w:id="1620719150">
      <w:bodyDiv w:val="1"/>
      <w:marLeft w:val="0"/>
      <w:marRight w:val="0"/>
      <w:marTop w:val="0"/>
      <w:marBottom w:val="0"/>
      <w:divBdr>
        <w:top w:val="none" w:sz="0" w:space="0" w:color="auto"/>
        <w:left w:val="none" w:sz="0" w:space="0" w:color="auto"/>
        <w:bottom w:val="none" w:sz="0" w:space="0" w:color="auto"/>
        <w:right w:val="none" w:sz="0" w:space="0" w:color="auto"/>
      </w:divBdr>
    </w:div>
    <w:div w:id="189249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45666-B2ED-AD48-89ED-395D5245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3281</TotalTime>
  <Pages>20</Pages>
  <Words>5858</Words>
  <Characters>33392</Characters>
  <Application>Microsoft Macintosh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42</cp:revision>
  <cp:lastPrinted>2014-07-08T17:36:00Z</cp:lastPrinted>
  <dcterms:created xsi:type="dcterms:W3CDTF">2014-06-25T19:31:00Z</dcterms:created>
  <dcterms:modified xsi:type="dcterms:W3CDTF">2014-08-27T16:39:00Z</dcterms:modified>
</cp:coreProperties>
</file>