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C588" w14:textId="676BD2E6" w:rsidR="007D3DC9" w:rsidRDefault="007D3DC9" w:rsidP="007D3DC9">
      <w:pPr>
        <w:autoSpaceDE w:val="0"/>
        <w:autoSpaceDN w:val="0"/>
        <w:adjustRightInd w:val="0"/>
        <w:spacing w:after="0" w:line="240" w:lineRule="auto"/>
        <w:ind w:left="720" w:hanging="360"/>
      </w:pPr>
      <w:r>
        <w:rPr>
          <w:rStyle w:val="Strong"/>
          <w:rFonts w:ascii="Helvetica" w:hAnsi="Helvetica"/>
          <w:color w:val="4C4C4C"/>
          <w:sz w:val="27"/>
          <w:szCs w:val="27"/>
          <w:shd w:val="clear" w:color="auto" w:fill="F9F9F9"/>
        </w:rPr>
        <w:t>List of Publications</w:t>
      </w:r>
      <w:r>
        <w:rPr>
          <w:rFonts w:ascii="Helvetica" w:hAnsi="Helvetica"/>
          <w:color w:val="4C4C4C"/>
          <w:sz w:val="27"/>
          <w:szCs w:val="27"/>
        </w:rPr>
        <w:br/>
      </w:r>
    </w:p>
    <w:p w14:paraId="77EB47CB" w14:textId="5BA695E9" w:rsidR="007D3DC9" w:rsidRP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The Effective Role of </w:t>
      </w:r>
      <w:proofErr w:type="spellStart"/>
      <w:r w:rsidRPr="007D3DC9">
        <w:rPr>
          <w:rFonts w:ascii="Roboto-Light" w:hAnsi="Roboto-Light" w:cs="Roboto-Light"/>
          <w:color w:val="111111"/>
          <w:sz w:val="26"/>
          <w:szCs w:val="26"/>
        </w:rPr>
        <w:t>Phitofert</w:t>
      </w:r>
      <w:proofErr w:type="spellEnd"/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® Supplement in Male Reproductive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Hormones and Epididymal Sperm Quality in Carbon Tetrachloride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(CCL4) Treated Rats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.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Published: </w:t>
      </w:r>
      <w:proofErr w:type="gramStart"/>
      <w:r>
        <w:rPr>
          <w:rFonts w:ascii="Roboto-Light" w:hAnsi="Roboto-Light" w:cs="Roboto-Light"/>
          <w:color w:val="444444"/>
          <w:sz w:val="18"/>
          <w:szCs w:val="18"/>
        </w:rPr>
        <w:t xml:space="preserve">2022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>in</w:t>
      </w:r>
      <w:proofErr w:type="gramEnd"/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Advances in Animal and Veterinary Sciences</w:t>
      </w:r>
    </w:p>
    <w:p w14:paraId="4BAF367E" w14:textId="77777777" w:rsidR="007D3DC9" w:rsidRPr="007D3DC9" w:rsidRDefault="007D3DC9" w:rsidP="007D3DC9">
      <w:p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111111"/>
          <w:sz w:val="26"/>
          <w:szCs w:val="26"/>
        </w:rPr>
      </w:pPr>
    </w:p>
    <w:p w14:paraId="3B4F5EA7" w14:textId="36DDD96F" w:rsidR="00EF4865" w:rsidRP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7D3DC9">
        <w:rPr>
          <w:rFonts w:ascii="Roboto-Light" w:hAnsi="Roboto-Light" w:cs="Roboto-Light"/>
          <w:color w:val="111111"/>
          <w:sz w:val="26"/>
          <w:szCs w:val="26"/>
        </w:rPr>
        <w:t>Study The Role of Nigella Sativa Silver Antiparticles on Some Liver Biomarkers</w:t>
      </w:r>
      <w:r w:rsidRPr="007D3DC9">
        <w:rPr>
          <w:rFonts w:ascii="Roboto-Light" w:hAnsi="Roboto-Light" w:cs="Roboto-Light" w:hint="cs"/>
          <w:color w:val="111111"/>
          <w:sz w:val="26"/>
          <w:szCs w:val="26"/>
          <w:rtl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and Hepatocyte Comet Assay in Stressed Rats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     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ab/>
      </w:r>
      <w:r w:rsidRPr="007D3DC9">
        <w:rPr>
          <w:rFonts w:ascii="Roboto-Light" w:hAnsi="Roboto-Light" w:cs="Roboto-Light"/>
          <w:color w:val="444444"/>
          <w:sz w:val="18"/>
          <w:szCs w:val="18"/>
        </w:rPr>
        <w:tab/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Published: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May 2021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in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Annals of R.S.C.B.</w:t>
      </w:r>
      <w:r>
        <w:rPr>
          <w:rFonts w:ascii="Roboto-Light" w:hAnsi="Roboto-Light" w:cs="Roboto-Light"/>
          <w:color w:val="444444"/>
          <w:sz w:val="18"/>
          <w:szCs w:val="18"/>
        </w:rPr>
        <w:t xml:space="preserve"> </w:t>
      </w:r>
    </w:p>
    <w:p w14:paraId="5F0B06C0" w14:textId="08FDD673" w:rsidR="007D3DC9" w:rsidRP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111111"/>
          <w:sz w:val="26"/>
          <w:szCs w:val="26"/>
        </w:rPr>
      </w:pPr>
      <w:r w:rsidRPr="007D3DC9">
        <w:rPr>
          <w:rFonts w:ascii="Roboto-Light" w:hAnsi="Roboto-Light" w:cs="Roboto-Light"/>
          <w:color w:val="111111"/>
          <w:sz w:val="26"/>
          <w:szCs w:val="26"/>
        </w:rPr>
        <w:t>Green Synthesis of Zinc Oxide Nanoparticles from (Punica granatum L)</w:t>
      </w:r>
      <w:r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Pomegranate Aqueous Peel Extract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Published: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Dec 2019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in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Iraqi Journal of Veterinary Medicine (</w:t>
      </w:r>
      <w:proofErr w:type="spellStart"/>
      <w:r w:rsidRPr="007D3DC9">
        <w:rPr>
          <w:rFonts w:ascii="Roboto-Light" w:hAnsi="Roboto-Light" w:cs="Roboto-Light"/>
          <w:color w:val="444444"/>
          <w:sz w:val="18"/>
          <w:szCs w:val="18"/>
        </w:rPr>
        <w:t>IraqiJvm</w:t>
      </w:r>
      <w:proofErr w:type="spellEnd"/>
      <w:r w:rsidRPr="007D3DC9">
        <w:rPr>
          <w:rFonts w:ascii="Roboto-Light" w:hAnsi="Roboto-Light" w:cs="Roboto-Light"/>
          <w:color w:val="444444"/>
          <w:sz w:val="18"/>
          <w:szCs w:val="18"/>
        </w:rPr>
        <w:t>)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DOI: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10.30539/IRAQIJVM.V43I2.524</w:t>
      </w:r>
    </w:p>
    <w:p w14:paraId="4198B185" w14:textId="19DF20A9" w:rsidR="007D3DC9" w:rsidRDefault="007D3DC9" w:rsidP="007D3DC9">
      <w:p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</w:p>
    <w:p w14:paraId="1FF4AD64" w14:textId="0C633E9F" w:rsidR="007D3DC9" w:rsidRP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Effect of Different Doses from </w:t>
      </w:r>
      <w:proofErr w:type="spellStart"/>
      <w:r w:rsidRPr="007D3DC9">
        <w:rPr>
          <w:rFonts w:ascii="Roboto-Light" w:hAnsi="Roboto-Light" w:cs="Roboto-Light"/>
          <w:color w:val="111111"/>
          <w:sz w:val="26"/>
          <w:szCs w:val="26"/>
        </w:rPr>
        <w:t>ZnONPS</w:t>
      </w:r>
      <w:proofErr w:type="spellEnd"/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on the Pituitary-Testes Axis Function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in Adult Male Rats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Published: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May 2019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in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Advances in Animal and Veterinary Sciences</w:t>
      </w:r>
      <w:r>
        <w:rPr>
          <w:rFonts w:ascii="Roboto-Light" w:hAnsi="Roboto-Light" w:cs="Roboto-Light"/>
          <w:color w:val="444444"/>
          <w:sz w:val="18"/>
          <w:szCs w:val="18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DOI: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10.17582/JOURNAL.AAVS/2019/7.7.550.556</w:t>
      </w:r>
    </w:p>
    <w:p w14:paraId="023CA8D7" w14:textId="6C25F12E" w:rsidR="007D3DC9" w:rsidRDefault="007D3DC9" w:rsidP="007D3DC9">
      <w:p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</w:p>
    <w:p w14:paraId="38EE9F00" w14:textId="3B6CF469" w:rsidR="007D3DC9" w:rsidRP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  <w:r w:rsidRPr="007D3DC9">
        <w:rPr>
          <w:rFonts w:ascii="Roboto-Light" w:hAnsi="Roboto-Light" w:cs="Roboto-Light"/>
          <w:color w:val="111111"/>
          <w:sz w:val="26"/>
          <w:szCs w:val="26"/>
        </w:rPr>
        <w:t>Protective Role of Pomegranate peel extract on the Pituitary gland of adult</w:t>
      </w:r>
      <w:r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male rabbits treated with CCL4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Published: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Apr 2017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 </w:t>
      </w:r>
    </w:p>
    <w:p w14:paraId="558CAF84" w14:textId="05A7FB57" w:rsidR="007D3DC9" w:rsidRP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  <w:r w:rsidRPr="007D3DC9">
        <w:rPr>
          <w:rFonts w:ascii="Roboto-Light" w:hAnsi="Roboto-Light" w:cs="Roboto-Light"/>
          <w:color w:val="111111"/>
          <w:sz w:val="26"/>
          <w:szCs w:val="26"/>
        </w:rPr>
        <w:t>Protective Role of Pomegranate Peel Extract on Testis in Adult Male Rabbits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Treated with Carbon Tetrachloride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Published: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 xml:space="preserve">Jun 2014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in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Iraqi Journal of Veterinary Medicine (</w:t>
      </w:r>
      <w:proofErr w:type="spellStart"/>
      <w:r w:rsidRPr="007D3DC9">
        <w:rPr>
          <w:rFonts w:ascii="Roboto-Light" w:hAnsi="Roboto-Light" w:cs="Roboto-Light"/>
          <w:color w:val="444444"/>
          <w:sz w:val="18"/>
          <w:szCs w:val="18"/>
        </w:rPr>
        <w:t>IraqiJvm</w:t>
      </w:r>
      <w:proofErr w:type="spellEnd"/>
      <w:r w:rsidRPr="007D3DC9">
        <w:rPr>
          <w:rFonts w:ascii="Roboto-Light" w:hAnsi="Roboto-Light" w:cs="Roboto-Light"/>
          <w:color w:val="444444"/>
          <w:sz w:val="18"/>
          <w:szCs w:val="18"/>
        </w:rPr>
        <w:t>)</w:t>
      </w:r>
      <w:r>
        <w:rPr>
          <w:rFonts w:ascii="Roboto-Light" w:hAnsi="Roboto-Light" w:cs="Roboto-Light"/>
          <w:color w:val="444444"/>
          <w:sz w:val="18"/>
          <w:szCs w:val="18"/>
        </w:rPr>
        <w:t xml:space="preserve"> </w:t>
      </w:r>
      <w:r w:rsidRPr="007D3DC9">
        <w:rPr>
          <w:rFonts w:ascii="Roboto-Light" w:hAnsi="Roboto-Light" w:cs="Roboto-Light"/>
          <w:color w:val="9A9A9A"/>
          <w:sz w:val="18"/>
          <w:szCs w:val="18"/>
        </w:rPr>
        <w:t xml:space="preserve">DOI: </w:t>
      </w:r>
      <w:r w:rsidRPr="007D3DC9">
        <w:rPr>
          <w:rFonts w:ascii="Roboto-Light" w:hAnsi="Roboto-Light" w:cs="Roboto-Light"/>
          <w:color w:val="444444"/>
          <w:sz w:val="18"/>
          <w:szCs w:val="18"/>
        </w:rPr>
        <w:t>10.30539/IRAQIJVM.V38I1.258</w:t>
      </w:r>
    </w:p>
    <w:p w14:paraId="2962A26E" w14:textId="47FE3079" w:rsidR="007D3DC9" w:rsidRDefault="007D3DC9" w:rsidP="007D3DC9">
      <w:pPr>
        <w:autoSpaceDE w:val="0"/>
        <w:autoSpaceDN w:val="0"/>
        <w:adjustRightInd w:val="0"/>
        <w:spacing w:after="0" w:line="240" w:lineRule="auto"/>
        <w:rPr>
          <w:rFonts w:ascii="Roboto-Light" w:hAnsi="Roboto-Light" w:cs="Roboto-Light"/>
          <w:color w:val="444444"/>
          <w:sz w:val="18"/>
          <w:szCs w:val="18"/>
        </w:rPr>
      </w:pPr>
    </w:p>
    <w:p w14:paraId="7D967BFA" w14:textId="3B299772" w:rsidR="007D3DC9" w:rsidRDefault="007D3DC9" w:rsidP="007D3D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7D3DC9">
        <w:rPr>
          <w:rFonts w:ascii="Roboto-Light" w:hAnsi="Roboto-Light" w:cs="Roboto-Light"/>
          <w:color w:val="111111"/>
          <w:sz w:val="26"/>
          <w:szCs w:val="26"/>
        </w:rPr>
        <w:t>Effect of zinc oxide nanoparticles on sperm cell comet assay, testis</w:t>
      </w:r>
      <w:r>
        <w:rPr>
          <w:rFonts w:ascii="Roboto-Light" w:hAnsi="Roboto-Light" w:cs="Roboto-Light"/>
          <w:color w:val="111111"/>
          <w:sz w:val="26"/>
          <w:szCs w:val="26"/>
        </w:rPr>
        <w:t xml:space="preserve"> 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malondialdehyde and glutathione peroxidase levels in adult rats</w:t>
      </w:r>
      <w:r w:rsidRPr="007D3DC9">
        <w:rPr>
          <w:rFonts w:ascii="Roboto-Light" w:hAnsi="Roboto-Light" w:cs="Roboto-Light"/>
          <w:color w:val="111111"/>
          <w:sz w:val="26"/>
          <w:szCs w:val="26"/>
        </w:rPr>
        <w:t>.</w:t>
      </w:r>
    </w:p>
    <w:sectPr w:rsidR="007D3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-Light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839"/>
    <w:multiLevelType w:val="hybridMultilevel"/>
    <w:tmpl w:val="93441C2C"/>
    <w:lvl w:ilvl="0" w:tplc="FF88D1A8">
      <w:start w:val="4"/>
      <w:numFmt w:val="bullet"/>
      <w:lvlText w:val="-"/>
      <w:lvlJc w:val="left"/>
      <w:pPr>
        <w:ind w:left="720" w:hanging="360"/>
      </w:pPr>
      <w:rPr>
        <w:rFonts w:ascii="Roboto-Light" w:eastAsiaTheme="minorHAnsi" w:hAnsi="Roboto-Light" w:cs="Roboto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85310"/>
    <w:multiLevelType w:val="hybridMultilevel"/>
    <w:tmpl w:val="A38802AE"/>
    <w:lvl w:ilvl="0" w:tplc="1B5E58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A784E"/>
    <w:multiLevelType w:val="hybridMultilevel"/>
    <w:tmpl w:val="A38802A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23"/>
    <w:rsid w:val="007D3DC9"/>
    <w:rsid w:val="00EE6123"/>
    <w:rsid w:val="00E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75EEE"/>
  <w15:chartTrackingRefBased/>
  <w15:docId w15:val="{A6ED3E1B-C30B-45B3-9DBA-9F2D1D81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DC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WASSAN</dc:creator>
  <cp:keywords/>
  <dc:description/>
  <cp:lastModifiedBy>WASSAN</cp:lastModifiedBy>
  <cp:revision>3</cp:revision>
  <dcterms:created xsi:type="dcterms:W3CDTF">2022-02-23T19:39:00Z</dcterms:created>
  <dcterms:modified xsi:type="dcterms:W3CDTF">2022-02-23T19:46:00Z</dcterms:modified>
</cp:coreProperties>
</file>