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BA2" w:rsidRDefault="00304BA2" w:rsidP="00304BA2">
      <w:pPr>
        <w:pStyle w:val="ListParagraph"/>
        <w:framePr w:hSpace="180" w:wrap="around" w:vAnchor="text" w:hAnchor="page" w:x="1846" w:y="-809"/>
        <w:numPr>
          <w:ilvl w:val="0"/>
          <w:numId w:val="1"/>
        </w:numPr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>
        <w:rPr>
          <w:b/>
          <w:bCs/>
        </w:rPr>
        <w:t xml:space="preserve">Muhammad Tariq </w:t>
      </w:r>
      <w:proofErr w:type="spellStart"/>
      <w:r>
        <w:rPr>
          <w:b/>
          <w:bCs/>
        </w:rPr>
        <w:t>Saeed</w:t>
      </w:r>
      <w:proofErr w:type="spellEnd"/>
      <w:r>
        <w:t xml:space="preserve">, Muhammad </w:t>
      </w:r>
      <w:proofErr w:type="spellStart"/>
      <w:r>
        <w:t>Ashfaq</w:t>
      </w:r>
      <w:proofErr w:type="spellEnd"/>
      <w:r>
        <w:t xml:space="preserve"> Wahid, Muhammad </w:t>
      </w:r>
      <w:proofErr w:type="spellStart"/>
      <w:r>
        <w:t>Farrukh</w:t>
      </w:r>
      <w:proofErr w:type="spellEnd"/>
      <w:r>
        <w:t xml:space="preserve"> </w:t>
      </w:r>
      <w:proofErr w:type="spellStart"/>
      <w:r>
        <w:t>Saleem</w:t>
      </w:r>
      <w:proofErr w:type="spellEnd"/>
      <w:r>
        <w:t xml:space="preserve"> and Tariq Aziz. “Enhancing Phosphorus Use Efficiency by Supplementing through Soil Applications and Seed Phosphorus Reserves in Maize (</w:t>
      </w:r>
      <w:proofErr w:type="spellStart"/>
      <w:r>
        <w:t>Zea</w:t>
      </w:r>
      <w:proofErr w:type="spellEnd"/>
      <w:r>
        <w:t xml:space="preserve"> mays)”. Published in “International Journal of Agriculture and Biology</w:t>
      </w:r>
      <w:proofErr w:type="gramStart"/>
      <w:r>
        <w:t xml:space="preserve">” </w:t>
      </w:r>
      <w:r>
        <w:rPr>
          <w:rFonts w:eastAsiaTheme="minorHAnsi"/>
          <w:color w:val="000000"/>
        </w:rPr>
        <w:t xml:space="preserve"> Vol</w:t>
      </w:r>
      <w:proofErr w:type="gramEnd"/>
      <w:r>
        <w:rPr>
          <w:rFonts w:eastAsiaTheme="minorHAnsi"/>
          <w:color w:val="000000"/>
        </w:rPr>
        <w:t>. 19 (6): 1394-1400, 2017</w:t>
      </w:r>
      <w:r>
        <w:t xml:space="preserve"> (</w:t>
      </w:r>
      <w:r>
        <w:rPr>
          <w:bCs/>
          <w:color w:val="000000" w:themeColor="text1"/>
          <w:sz w:val="20"/>
          <w:szCs w:val="20"/>
        </w:rPr>
        <w:t>Impact Factor= 0.764</w:t>
      </w:r>
      <w:r>
        <w:t>).</w:t>
      </w:r>
    </w:p>
    <w:p w:rsidR="00304BA2" w:rsidRDefault="00304BA2" w:rsidP="00304BA2">
      <w:pPr>
        <w:pStyle w:val="ListParagraph"/>
        <w:framePr w:hSpace="180" w:wrap="around" w:vAnchor="text" w:hAnchor="page" w:x="1846" w:y="-809"/>
        <w:numPr>
          <w:ilvl w:val="0"/>
          <w:numId w:val="1"/>
        </w:numPr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Muhammad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Waqas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Ali, Il-Doo Kim,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Saqib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Bilal,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Raheem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Shahzad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Muhammad Tariq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Saeed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Bishnu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Adhikari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Rizwana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Begum Syed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Nabi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Jeong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Rae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Kyo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and Dong-Hyun Shin. “</w:t>
      </w:r>
      <w:r>
        <w:t xml:space="preserve">Effects of Bacterial Fermentation on the Biochemical Constituents and Antioxidant Potential of Fermented and Unfermented Soybeans Using Probiotic Bacillus </w:t>
      </w:r>
      <w:proofErr w:type="spellStart"/>
      <w:r>
        <w:t>subtilis</w:t>
      </w:r>
      <w:proofErr w:type="spellEnd"/>
      <w:r>
        <w:t xml:space="preserve"> (KCTC 13241).” Published in “</w:t>
      </w:r>
      <w:r>
        <w:rPr>
          <w:rFonts w:ascii="Arial" w:eastAsiaTheme="minorHAnsi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 xml:space="preserve">olecules” 2017 </w:t>
      </w:r>
      <w:r>
        <w:t>(</w:t>
      </w:r>
      <w:r>
        <w:rPr>
          <w:bCs/>
          <w:color w:val="000000" w:themeColor="text1"/>
          <w:sz w:val="20"/>
          <w:szCs w:val="20"/>
        </w:rPr>
        <w:t>Impact Factor= 2.861</w:t>
      </w:r>
      <w:r>
        <w:t>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304BA2" w:rsidRDefault="00304BA2" w:rsidP="00304BA2">
      <w:pPr>
        <w:pStyle w:val="ListParagraph"/>
        <w:framePr w:hSpace="180" w:wrap="around" w:vAnchor="text" w:hAnchor="page" w:x="1846" w:y="-809"/>
        <w:numPr>
          <w:ilvl w:val="0"/>
          <w:numId w:val="1"/>
        </w:numPr>
        <w:jc w:val="both"/>
      </w:pPr>
      <w:r>
        <w:rPr>
          <w:b/>
          <w:bCs/>
          <w:iCs/>
        </w:rPr>
        <w:t xml:space="preserve">Muhammad Tariq </w:t>
      </w:r>
      <w:proofErr w:type="spellStart"/>
      <w:r>
        <w:rPr>
          <w:b/>
          <w:bCs/>
          <w:iCs/>
        </w:rPr>
        <w:t>Saeed</w:t>
      </w:r>
      <w:proofErr w:type="spellEnd"/>
      <w:r>
        <w:rPr>
          <w:iCs/>
        </w:rPr>
        <w:t xml:space="preserve">, Muhammad </w:t>
      </w:r>
      <w:proofErr w:type="spellStart"/>
      <w:r>
        <w:rPr>
          <w:iCs/>
        </w:rPr>
        <w:t>Ashfaq</w:t>
      </w:r>
      <w:proofErr w:type="spellEnd"/>
      <w:r>
        <w:rPr>
          <w:iCs/>
        </w:rPr>
        <w:t xml:space="preserve"> Wahid, Muhammad </w:t>
      </w:r>
      <w:proofErr w:type="spellStart"/>
      <w:r>
        <w:rPr>
          <w:iCs/>
        </w:rPr>
        <w:t>Farrukh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Saleem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Mumtaz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Akhtar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Cheema</w:t>
      </w:r>
      <w:proofErr w:type="spellEnd"/>
      <w:r>
        <w:rPr>
          <w:iCs/>
        </w:rPr>
        <w:t xml:space="preserve">, Muhammad </w:t>
      </w:r>
      <w:proofErr w:type="spellStart"/>
      <w:r>
        <w:rPr>
          <w:iCs/>
        </w:rPr>
        <w:t>Shahid</w:t>
      </w:r>
      <w:proofErr w:type="spellEnd"/>
      <w:r>
        <w:rPr>
          <w:iCs/>
        </w:rPr>
        <w:t xml:space="preserve">, Abdul </w:t>
      </w:r>
      <w:proofErr w:type="spellStart"/>
      <w:r>
        <w:rPr>
          <w:iCs/>
        </w:rPr>
        <w:t>Shakoor</w:t>
      </w:r>
      <w:proofErr w:type="spellEnd"/>
      <w:r>
        <w:rPr>
          <w:iCs/>
        </w:rPr>
        <w:t xml:space="preserve">, Abdul </w:t>
      </w:r>
      <w:proofErr w:type="spellStart"/>
      <w:r>
        <w:rPr>
          <w:iCs/>
        </w:rPr>
        <w:t>Sattar</w:t>
      </w:r>
      <w:proofErr w:type="spellEnd"/>
      <w:r>
        <w:rPr>
          <w:iCs/>
        </w:rPr>
        <w:t>. 2016. “Improving the stand establishment, phenology and yield of soybean (</w:t>
      </w:r>
      <w:r>
        <w:rPr>
          <w:i/>
        </w:rPr>
        <w:t>Glycine max</w:t>
      </w:r>
      <w:r>
        <w:rPr>
          <w:iCs/>
        </w:rPr>
        <w:t xml:space="preserve"> L.) </w:t>
      </w:r>
      <w:proofErr w:type="gramStart"/>
      <w:r>
        <w:rPr>
          <w:iCs/>
        </w:rPr>
        <w:t>by</w:t>
      </w:r>
      <w:proofErr w:type="gramEnd"/>
      <w:r>
        <w:rPr>
          <w:iCs/>
        </w:rPr>
        <w:t xml:space="preserve"> various physiological enhancements.” Published in Pak. J. Agric. Res. Vol. 30 (3): 218-225, 2017.</w:t>
      </w:r>
    </w:p>
    <w:p w:rsidR="00304BA2" w:rsidRDefault="00304BA2" w:rsidP="00304BA2">
      <w:pPr>
        <w:pStyle w:val="ListParagraph"/>
        <w:framePr w:hSpace="180" w:wrap="around" w:vAnchor="text" w:hAnchor="page" w:x="1846" w:y="-809"/>
        <w:numPr>
          <w:ilvl w:val="0"/>
          <w:numId w:val="1"/>
        </w:numPr>
        <w:jc w:val="both"/>
        <w:rPr>
          <w:color w:val="000000" w:themeColor="text1"/>
        </w:rPr>
      </w:pPr>
      <w:proofErr w:type="spellStart"/>
      <w:r>
        <w:t>Irshad</w:t>
      </w:r>
      <w:proofErr w:type="spellEnd"/>
      <w:r>
        <w:t xml:space="preserve"> S., H.U. </w:t>
      </w:r>
      <w:proofErr w:type="spellStart"/>
      <w:r>
        <w:t>Rehman</w:t>
      </w:r>
      <w:proofErr w:type="spellEnd"/>
      <w:r>
        <w:t xml:space="preserve">, M.A. Wahid, M.F. </w:t>
      </w:r>
      <w:proofErr w:type="spellStart"/>
      <w:r>
        <w:t>Saleem</w:t>
      </w:r>
      <w:proofErr w:type="spellEnd"/>
      <w:r>
        <w:t xml:space="preserve">, S.M.A. </w:t>
      </w:r>
      <w:r>
        <w:rPr>
          <w:color w:val="000000" w:themeColor="text1"/>
        </w:rPr>
        <w:t xml:space="preserve">Basra and </w:t>
      </w:r>
      <w:r>
        <w:rPr>
          <w:b/>
          <w:color w:val="000000" w:themeColor="text1"/>
        </w:rPr>
        <w:t xml:space="preserve">M.T. </w:t>
      </w:r>
      <w:proofErr w:type="spellStart"/>
      <w:r>
        <w:rPr>
          <w:b/>
          <w:color w:val="000000" w:themeColor="text1"/>
        </w:rPr>
        <w:t>Saeed</w:t>
      </w:r>
      <w:proofErr w:type="spellEnd"/>
      <w:r>
        <w:rPr>
          <w:color w:val="000000" w:themeColor="text1"/>
        </w:rPr>
        <w:t xml:space="preserve">. 2016. Influence of Phosphorous Application on Growth, Yield and Oil Quality of </w:t>
      </w:r>
      <w:proofErr w:type="spellStart"/>
      <w:r>
        <w:rPr>
          <w:color w:val="000000" w:themeColor="text1"/>
        </w:rPr>
        <w:t>Linola</w:t>
      </w:r>
      <w:proofErr w:type="spellEnd"/>
      <w:r>
        <w:rPr>
          <w:color w:val="000000" w:themeColor="text1"/>
        </w:rPr>
        <w:t xml:space="preserve">. </w:t>
      </w:r>
      <w:r>
        <w:rPr>
          <w:bCs/>
          <w:color w:val="000000" w:themeColor="text1"/>
        </w:rPr>
        <w:t xml:space="preserve">(Published in Journal of Plant Nutrition, </w:t>
      </w:r>
      <w:r>
        <w:rPr>
          <w:bCs/>
          <w:color w:val="000000" w:themeColor="text1"/>
          <w:sz w:val="20"/>
          <w:szCs w:val="20"/>
        </w:rPr>
        <w:t>Impact Factor= 0.68</w:t>
      </w:r>
      <w:r>
        <w:rPr>
          <w:bCs/>
          <w:color w:val="000000" w:themeColor="text1"/>
        </w:rPr>
        <w:t>).</w:t>
      </w:r>
    </w:p>
    <w:p w:rsidR="00304BA2" w:rsidRPr="00304BA2" w:rsidRDefault="00304BA2" w:rsidP="00304BA2">
      <w:pPr>
        <w:pStyle w:val="ListParagraph"/>
        <w:framePr w:hSpace="180" w:wrap="around" w:vAnchor="text" w:hAnchor="page" w:x="1846" w:y="-809"/>
        <w:numPr>
          <w:ilvl w:val="0"/>
          <w:numId w:val="1"/>
        </w:numPr>
        <w:adjustRightInd w:val="0"/>
        <w:jc w:val="both"/>
        <w:rPr>
          <w:rStyle w:val="apple-converted-space"/>
          <w:rFonts w:eastAsiaTheme="minorHAnsi"/>
          <w:sz w:val="24"/>
          <w:szCs w:val="24"/>
        </w:rPr>
      </w:pPr>
      <w:proofErr w:type="spellStart"/>
      <w:r>
        <w:rPr>
          <w:color w:val="000000" w:themeColor="text1"/>
          <w:shd w:val="clear" w:color="auto" w:fill="FFFFFF"/>
        </w:rPr>
        <w:t>Shakoor</w:t>
      </w:r>
      <w:proofErr w:type="spellEnd"/>
      <w:r>
        <w:rPr>
          <w:color w:val="000000" w:themeColor="text1"/>
          <w:shd w:val="clear" w:color="auto" w:fill="FFFFFF"/>
        </w:rPr>
        <w:t>, A.,</w:t>
      </w:r>
      <w:r>
        <w:rPr>
          <w:rStyle w:val="apple-converted-space"/>
          <w:color w:val="000000" w:themeColor="text1"/>
          <w:shd w:val="clear" w:color="auto" w:fill="FFFFFF"/>
        </w:rPr>
        <w:t> </w:t>
      </w:r>
      <w:r>
        <w:rPr>
          <w:color w:val="000000" w:themeColor="text1"/>
          <w:shd w:val="clear" w:color="auto" w:fill="FFFFFF"/>
        </w:rPr>
        <w:t xml:space="preserve">M.F. </w:t>
      </w:r>
      <w:proofErr w:type="spellStart"/>
      <w:r>
        <w:rPr>
          <w:color w:val="000000" w:themeColor="text1"/>
          <w:shd w:val="clear" w:color="auto" w:fill="FFFFFF"/>
        </w:rPr>
        <w:t>Saleem</w:t>
      </w:r>
      <w:proofErr w:type="spellEnd"/>
      <w:r>
        <w:rPr>
          <w:color w:val="000000" w:themeColor="text1"/>
          <w:shd w:val="clear" w:color="auto" w:fill="FFFFFF"/>
        </w:rPr>
        <w:t>,</w:t>
      </w:r>
      <w:r>
        <w:rPr>
          <w:rStyle w:val="apple-converted-space"/>
          <w:color w:val="000000" w:themeColor="text1"/>
          <w:shd w:val="clear" w:color="auto" w:fill="FFFFFF"/>
        </w:rPr>
        <w:t> </w:t>
      </w:r>
      <w:r>
        <w:rPr>
          <w:color w:val="000000" w:themeColor="text1"/>
        </w:rPr>
        <w:t>S</w:t>
      </w:r>
      <w:r>
        <w:rPr>
          <w:color w:val="000000" w:themeColor="text1"/>
          <w:shd w:val="clear" w:color="auto" w:fill="FFFFFF"/>
        </w:rPr>
        <w:t xml:space="preserve">.A. </w:t>
      </w:r>
      <w:proofErr w:type="spellStart"/>
      <w:r>
        <w:rPr>
          <w:color w:val="000000" w:themeColor="text1"/>
          <w:shd w:val="clear" w:color="auto" w:fill="FFFFFF"/>
        </w:rPr>
        <w:t>Anjum</w:t>
      </w:r>
      <w:proofErr w:type="spellEnd"/>
      <w:r>
        <w:rPr>
          <w:color w:val="000000" w:themeColor="text1"/>
          <w:shd w:val="clear" w:color="auto" w:fill="FFFFFF"/>
        </w:rPr>
        <w:t>, M.A. Wahid and</w:t>
      </w:r>
      <w:r>
        <w:rPr>
          <w:b/>
          <w:bCs/>
          <w:color w:val="000000" w:themeColor="text1"/>
          <w:shd w:val="clear" w:color="auto" w:fill="FFFFFF"/>
        </w:rPr>
        <w:t xml:space="preserve"> M.T. </w:t>
      </w:r>
      <w:proofErr w:type="spellStart"/>
      <w:r>
        <w:rPr>
          <w:b/>
          <w:bCs/>
          <w:color w:val="000000" w:themeColor="text1"/>
          <w:shd w:val="clear" w:color="auto" w:fill="FFFFFF"/>
        </w:rPr>
        <w:t>Saeed</w:t>
      </w:r>
      <w:proofErr w:type="spellEnd"/>
      <w:r>
        <w:rPr>
          <w:b/>
          <w:bCs/>
          <w:color w:val="000000" w:themeColor="text1"/>
          <w:shd w:val="clear" w:color="auto" w:fill="FFFFFF"/>
        </w:rPr>
        <w:t>.</w:t>
      </w:r>
      <w:r>
        <w:rPr>
          <w:color w:val="000000" w:themeColor="text1"/>
          <w:shd w:val="clear" w:color="auto" w:fill="FFFFFF"/>
        </w:rPr>
        <w:t xml:space="preserve"> 2016. Effect of heat stress and benzoic acid as foliar application on earliness and nutrients</w:t>
      </w:r>
      <w:r>
        <w:rPr>
          <w:color w:val="000000" w:themeColor="text1"/>
          <w:shd w:val="clear" w:color="auto" w:fill="FFFFFF"/>
          <w:vertAlign w:val="superscript"/>
        </w:rPr>
        <w:t>’</w:t>
      </w:r>
      <w:r>
        <w:rPr>
          <w:rStyle w:val="apple-converted-space"/>
          <w:color w:val="000000" w:themeColor="text1"/>
          <w:shd w:val="clear" w:color="auto" w:fill="FFFFFF"/>
        </w:rPr>
        <w:t> </w:t>
      </w:r>
      <w:r>
        <w:rPr>
          <w:color w:val="000000" w:themeColor="text1"/>
          <w:shd w:val="clear" w:color="auto" w:fill="FFFFFF"/>
        </w:rPr>
        <w:t>uptake in cotton (</w:t>
      </w:r>
      <w:proofErr w:type="spellStart"/>
      <w:r>
        <w:rPr>
          <w:i/>
          <w:iCs/>
          <w:color w:val="000000" w:themeColor="text1"/>
          <w:shd w:val="clear" w:color="auto" w:fill="FFFFFF"/>
        </w:rPr>
        <w:t>Gossypium</w:t>
      </w:r>
      <w:proofErr w:type="spellEnd"/>
      <w:r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>
        <w:rPr>
          <w:i/>
          <w:iCs/>
          <w:color w:val="000000" w:themeColor="text1"/>
          <w:shd w:val="clear" w:color="auto" w:fill="FFFFFF"/>
        </w:rPr>
        <w:t>hirsutum</w:t>
      </w:r>
      <w:proofErr w:type="spellEnd"/>
      <w:r>
        <w:rPr>
          <w:rStyle w:val="apple-converted-space"/>
          <w:color w:val="000000" w:themeColor="text1"/>
          <w:shd w:val="clear" w:color="auto" w:fill="FFFFFF"/>
        </w:rPr>
        <w:t> </w:t>
      </w:r>
      <w:r>
        <w:rPr>
          <w:color w:val="000000" w:themeColor="text1"/>
          <w:shd w:val="clear" w:color="auto" w:fill="FFFFFF"/>
        </w:rPr>
        <w:t>L.)</w:t>
      </w:r>
      <w:r>
        <w:rPr>
          <w:rStyle w:val="apple-converted-space"/>
          <w:color w:val="000000" w:themeColor="text1"/>
          <w:sz w:val="19"/>
          <w:szCs w:val="19"/>
        </w:rPr>
        <w:t>. (</w:t>
      </w:r>
      <w:r>
        <w:rPr>
          <w:color w:val="000000" w:themeColor="text1"/>
          <w:shd w:val="clear" w:color="auto" w:fill="FFFFFF"/>
        </w:rPr>
        <w:t>Published in Journal of Agricultural Research, Vol. 55 (1): 15-28, 2017</w:t>
      </w:r>
      <w:r>
        <w:rPr>
          <w:rStyle w:val="apple-converted-space"/>
          <w:color w:val="000000" w:themeColor="text1"/>
          <w:sz w:val="19"/>
          <w:szCs w:val="19"/>
        </w:rPr>
        <w:t>.</w:t>
      </w:r>
    </w:p>
    <w:p w:rsidR="00304BA2" w:rsidRPr="00CA3D65" w:rsidRDefault="00304BA2" w:rsidP="00304BA2">
      <w:pPr>
        <w:pStyle w:val="ListParagraph"/>
        <w:framePr w:hSpace="180" w:wrap="around" w:vAnchor="text" w:hAnchor="page" w:x="1846" w:y="-809"/>
        <w:numPr>
          <w:ilvl w:val="0"/>
          <w:numId w:val="1"/>
        </w:numPr>
        <w:rPr>
          <w:rStyle w:val="apple-converted-space"/>
        </w:rPr>
      </w:pPr>
      <w:proofErr w:type="spellStart"/>
      <w:r w:rsidRPr="00304BA2">
        <w:rPr>
          <w:rFonts w:eastAsiaTheme="minorHAnsi"/>
          <w:color w:val="000000"/>
        </w:rPr>
        <w:t>Abrar</w:t>
      </w:r>
      <w:proofErr w:type="spellEnd"/>
      <w:r w:rsidRPr="00304BA2">
        <w:rPr>
          <w:rFonts w:eastAsiaTheme="minorHAnsi"/>
          <w:color w:val="000000"/>
        </w:rPr>
        <w:t xml:space="preserve"> Ahmad, Muhammad </w:t>
      </w:r>
      <w:proofErr w:type="spellStart"/>
      <w:r w:rsidRPr="00304BA2">
        <w:rPr>
          <w:rFonts w:eastAsiaTheme="minorHAnsi"/>
          <w:color w:val="000000"/>
        </w:rPr>
        <w:t>Ashfaq</w:t>
      </w:r>
      <w:proofErr w:type="spellEnd"/>
      <w:r w:rsidRPr="00304BA2">
        <w:rPr>
          <w:rFonts w:eastAsiaTheme="minorHAnsi"/>
          <w:color w:val="000000"/>
        </w:rPr>
        <w:t xml:space="preserve"> Wahid, Muhammad </w:t>
      </w:r>
      <w:proofErr w:type="spellStart"/>
      <w:r w:rsidRPr="00304BA2">
        <w:rPr>
          <w:rFonts w:eastAsiaTheme="minorHAnsi"/>
          <w:color w:val="000000"/>
        </w:rPr>
        <w:t>Waleed</w:t>
      </w:r>
      <w:proofErr w:type="spellEnd"/>
      <w:r w:rsidRPr="00304BA2">
        <w:rPr>
          <w:rFonts w:eastAsiaTheme="minorHAnsi"/>
          <w:color w:val="000000"/>
        </w:rPr>
        <w:t xml:space="preserve"> </w:t>
      </w:r>
      <w:proofErr w:type="spellStart"/>
      <w:r w:rsidRPr="00304BA2">
        <w:rPr>
          <w:rFonts w:eastAsiaTheme="minorHAnsi"/>
          <w:color w:val="000000"/>
        </w:rPr>
        <w:t>Fazal</w:t>
      </w:r>
      <w:proofErr w:type="spellEnd"/>
      <w:r w:rsidRPr="00304BA2">
        <w:rPr>
          <w:rFonts w:eastAsiaTheme="minorHAnsi"/>
          <w:color w:val="000000"/>
        </w:rPr>
        <w:t xml:space="preserve">, Muhammad </w:t>
      </w:r>
      <w:proofErr w:type="spellStart"/>
      <w:r w:rsidRPr="00304BA2">
        <w:rPr>
          <w:rFonts w:eastAsiaTheme="minorHAnsi"/>
          <w:color w:val="000000"/>
        </w:rPr>
        <w:t>Usman</w:t>
      </w:r>
      <w:proofErr w:type="spellEnd"/>
      <w:r w:rsidRPr="00304BA2">
        <w:rPr>
          <w:rFonts w:eastAsiaTheme="minorHAnsi"/>
          <w:color w:val="000000"/>
        </w:rPr>
        <w:t xml:space="preserve"> </w:t>
      </w:r>
      <w:proofErr w:type="spellStart"/>
      <w:r w:rsidRPr="00304BA2">
        <w:rPr>
          <w:rFonts w:eastAsiaTheme="minorHAnsi"/>
          <w:color w:val="000000"/>
        </w:rPr>
        <w:t>Anees</w:t>
      </w:r>
      <w:proofErr w:type="spellEnd"/>
      <w:r w:rsidRPr="00304BA2">
        <w:rPr>
          <w:rFonts w:eastAsiaTheme="minorHAnsi"/>
          <w:color w:val="000000"/>
        </w:rPr>
        <w:t xml:space="preserve">, Muhammad </w:t>
      </w:r>
      <w:proofErr w:type="spellStart"/>
      <w:r w:rsidRPr="00304BA2">
        <w:rPr>
          <w:rFonts w:eastAsiaTheme="minorHAnsi"/>
          <w:color w:val="000000"/>
        </w:rPr>
        <w:t>Awais</w:t>
      </w:r>
      <w:proofErr w:type="spellEnd"/>
      <w:r w:rsidRPr="00304BA2">
        <w:rPr>
          <w:rFonts w:eastAsiaTheme="minorHAnsi"/>
          <w:color w:val="000000"/>
        </w:rPr>
        <w:t xml:space="preserve"> </w:t>
      </w:r>
      <w:proofErr w:type="spellStart"/>
      <w:r w:rsidRPr="00304BA2">
        <w:rPr>
          <w:rFonts w:eastAsiaTheme="minorHAnsi"/>
          <w:color w:val="000000"/>
        </w:rPr>
        <w:t>Arshad</w:t>
      </w:r>
      <w:proofErr w:type="spellEnd"/>
      <w:r w:rsidRPr="00304BA2">
        <w:rPr>
          <w:rFonts w:eastAsiaTheme="minorHAnsi"/>
          <w:color w:val="000000"/>
        </w:rPr>
        <w:t xml:space="preserve"> and </w:t>
      </w:r>
      <w:r w:rsidRPr="00304BA2">
        <w:rPr>
          <w:rFonts w:eastAsiaTheme="minorHAnsi"/>
          <w:b/>
          <w:bCs/>
          <w:color w:val="000000"/>
        </w:rPr>
        <w:t xml:space="preserve">Muhammad Tariq </w:t>
      </w:r>
      <w:proofErr w:type="spellStart"/>
      <w:r w:rsidRPr="00304BA2">
        <w:rPr>
          <w:rFonts w:eastAsiaTheme="minorHAnsi"/>
          <w:b/>
          <w:bCs/>
          <w:color w:val="000000"/>
        </w:rPr>
        <w:t>Saeed</w:t>
      </w:r>
      <w:proofErr w:type="spellEnd"/>
      <w:r w:rsidRPr="00304BA2">
        <w:rPr>
          <w:rFonts w:eastAsiaTheme="minorHAnsi"/>
          <w:b/>
          <w:bCs/>
          <w:color w:val="000000"/>
          <w:sz w:val="24"/>
          <w:szCs w:val="24"/>
        </w:rPr>
        <w:t xml:space="preserve">. </w:t>
      </w:r>
      <w:r w:rsidRPr="00304BA2">
        <w:rPr>
          <w:rFonts w:eastAsiaTheme="minorHAnsi"/>
          <w:color w:val="000000"/>
          <w:sz w:val="24"/>
          <w:szCs w:val="24"/>
        </w:rPr>
        <w:t>2016.</w:t>
      </w:r>
      <w:r w:rsidRPr="00304BA2"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r w:rsidRPr="00304BA2">
        <w:rPr>
          <w:rFonts w:eastAsiaTheme="minorHAnsi"/>
          <w:color w:val="000000"/>
          <w:sz w:val="24"/>
          <w:szCs w:val="24"/>
        </w:rPr>
        <w:t>“Agro-Economic Assessment of Maize-Soybean Intercropping System.”</w:t>
      </w:r>
      <w:r w:rsidRPr="00304BA2"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r w:rsidRPr="00304BA2">
        <w:rPr>
          <w:rStyle w:val="apple-converted-space"/>
          <w:color w:val="000000" w:themeColor="text1"/>
          <w:sz w:val="19"/>
          <w:szCs w:val="19"/>
        </w:rPr>
        <w:t>(</w:t>
      </w:r>
      <w:r w:rsidRPr="00304BA2">
        <w:rPr>
          <w:color w:val="000000" w:themeColor="text1"/>
          <w:shd w:val="clear" w:color="auto" w:fill="FFFFFF"/>
        </w:rPr>
        <w:t xml:space="preserve">Published in </w:t>
      </w:r>
      <w:proofErr w:type="spellStart"/>
      <w:r w:rsidRPr="00304BA2">
        <w:rPr>
          <w:color w:val="000000" w:themeColor="text1"/>
          <w:shd w:val="clear" w:color="auto" w:fill="FFFFFF"/>
        </w:rPr>
        <w:t>Aemrican-Euracian</w:t>
      </w:r>
      <w:proofErr w:type="spellEnd"/>
      <w:r w:rsidRPr="00304BA2">
        <w:rPr>
          <w:color w:val="000000" w:themeColor="text1"/>
          <w:shd w:val="clear" w:color="auto" w:fill="FFFFFF"/>
        </w:rPr>
        <w:t xml:space="preserve"> Journal of Agricultural &amp; Environmental Sciences, Vol. 16 (11): 1719-1725, 2017</w:t>
      </w:r>
      <w:r w:rsidRPr="00304BA2">
        <w:rPr>
          <w:rStyle w:val="apple-converted-space"/>
          <w:color w:val="000000" w:themeColor="text1"/>
          <w:sz w:val="19"/>
          <w:szCs w:val="19"/>
        </w:rPr>
        <w:t>).</w:t>
      </w:r>
    </w:p>
    <w:p w:rsidR="00CA3D65" w:rsidRDefault="00CA3D65" w:rsidP="00CA3D65">
      <w:pPr>
        <w:pStyle w:val="ListParagraph"/>
        <w:framePr w:hSpace="180" w:wrap="around" w:vAnchor="text" w:hAnchor="page" w:x="1846" w:y="-809"/>
        <w:numPr>
          <w:ilvl w:val="0"/>
          <w:numId w:val="1"/>
        </w:numPr>
        <w:tabs>
          <w:tab w:val="clear" w:pos="360"/>
          <w:tab w:val="num" w:pos="163"/>
        </w:tabs>
        <w:spacing w:after="0" w:line="240" w:lineRule="auto"/>
        <w:jc w:val="both"/>
        <w:rPr>
          <w:b/>
        </w:rPr>
      </w:pPr>
      <w:r>
        <w:t xml:space="preserve">    Steve </w:t>
      </w:r>
      <w:proofErr w:type="spellStart"/>
      <w:r>
        <w:t>Culman</w:t>
      </w:r>
      <w:proofErr w:type="spellEnd"/>
      <w:r>
        <w:t xml:space="preserve">, </w:t>
      </w:r>
      <w:r>
        <w:rPr>
          <w:b/>
          <w:bCs/>
        </w:rPr>
        <w:t xml:space="preserve">Muhammad Tariq </w:t>
      </w:r>
      <w:proofErr w:type="spellStart"/>
      <w:r>
        <w:rPr>
          <w:b/>
          <w:bCs/>
        </w:rPr>
        <w:t>Saeed</w:t>
      </w:r>
      <w:proofErr w:type="spellEnd"/>
      <w:r>
        <w:t xml:space="preserve">, Anthony </w:t>
      </w:r>
      <w:proofErr w:type="spellStart"/>
      <w:r>
        <w:t>Fulford</w:t>
      </w:r>
      <w:proofErr w:type="spellEnd"/>
      <w:r>
        <w:t>.</w:t>
      </w:r>
    </w:p>
    <w:p w:rsidR="00CA3D65" w:rsidRDefault="00CA3D65" w:rsidP="00CA3D65">
      <w:pPr>
        <w:pStyle w:val="ListParagraph"/>
        <w:framePr w:hSpace="180" w:wrap="around" w:vAnchor="text" w:hAnchor="page" w:x="1846" w:y="-809"/>
        <w:spacing w:after="0" w:line="240" w:lineRule="auto"/>
        <w:ind w:left="360"/>
        <w:jc w:val="both"/>
        <w:rPr>
          <w:u w:val="single"/>
        </w:rPr>
      </w:pPr>
      <w:r>
        <w:t xml:space="preserve">The </w:t>
      </w:r>
      <w:r>
        <w:rPr>
          <w:b/>
          <w:bCs/>
        </w:rPr>
        <w:t>"Ohio Data That Shaped the Tri-State Fertilizer Recommendations"</w:t>
      </w:r>
      <w:r>
        <w:t xml:space="preserve"> fact sheet is now available on Ohio line at </w:t>
      </w:r>
      <w:hyperlink r:id="rId6" w:tgtFrame="_blank" w:history="1">
        <w:r>
          <w:rPr>
            <w:u w:val="single"/>
          </w:rPr>
          <w:t>http://ohioline.osu.edu/factsheet/agf-518</w:t>
        </w:r>
      </w:hyperlink>
    </w:p>
    <w:p w:rsidR="00CA3D65" w:rsidRPr="00304BA2" w:rsidRDefault="00CA3D65" w:rsidP="00CA3D65">
      <w:pPr>
        <w:pStyle w:val="ListParagraph"/>
        <w:framePr w:hSpace="180" w:wrap="around" w:vAnchor="text" w:hAnchor="page" w:x="1846" w:y="-809"/>
        <w:numPr>
          <w:ilvl w:val="0"/>
          <w:numId w:val="1"/>
        </w:numPr>
        <w:spacing w:after="0" w:line="240" w:lineRule="auto"/>
        <w:jc w:val="both"/>
        <w:rPr>
          <w:rStyle w:val="apple-converted-space"/>
        </w:rPr>
      </w:pPr>
      <w:r w:rsidRPr="00CA3D65">
        <w:rPr>
          <w:color w:val="000000"/>
        </w:rPr>
        <w:t xml:space="preserve">A Factsheet </w:t>
      </w:r>
      <w:r w:rsidRPr="00CA3D65">
        <w:rPr>
          <w:color w:val="000000"/>
        </w:rPr>
        <w:t>“Converting between Mehlich-3, Bray P and Ammonium Acetate Soil Test Values</w:t>
      </w:r>
      <w:bookmarkStart w:id="0" w:name="_GoBack"/>
      <w:bookmarkEnd w:id="0"/>
      <w:r w:rsidRPr="00CA3D65">
        <w:rPr>
          <w:color w:val="000000"/>
        </w:rPr>
        <w:t>” (</w:t>
      </w:r>
      <w:r w:rsidRPr="00CA3D65">
        <w:rPr>
          <w:b/>
          <w:bCs/>
          <w:color w:val="000000"/>
        </w:rPr>
        <w:t>Under Review</w:t>
      </w:r>
      <w:r w:rsidRPr="00CA3D65">
        <w:rPr>
          <w:color w:val="000000"/>
        </w:rPr>
        <w:t>)</w:t>
      </w:r>
    </w:p>
    <w:p w:rsidR="004A768C" w:rsidRDefault="004A768C" w:rsidP="00304BA2"/>
    <w:sectPr w:rsidR="004A76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460DD"/>
    <w:multiLevelType w:val="hybridMultilevel"/>
    <w:tmpl w:val="77F0A4C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BA2"/>
    <w:rsid w:val="00304BA2"/>
    <w:rsid w:val="004A768C"/>
    <w:rsid w:val="00CA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BA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BA2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character" w:customStyle="1" w:styleId="apple-converted-space">
    <w:name w:val="apple-converted-space"/>
    <w:rsid w:val="00304B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BA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BA2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character" w:customStyle="1" w:styleId="apple-converted-space">
    <w:name w:val="apple-converted-space"/>
    <w:rsid w:val="00304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hioline.osu.edu/factsheet/agf-51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MUSKAN</dc:creator>
  <cp:lastModifiedBy>MUSKAN</cp:lastModifiedBy>
  <cp:revision>2</cp:revision>
  <dcterms:created xsi:type="dcterms:W3CDTF">2018-10-22T16:58:00Z</dcterms:created>
  <dcterms:modified xsi:type="dcterms:W3CDTF">2018-10-22T17:03:00Z</dcterms:modified>
</cp:coreProperties>
</file>