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000" w:firstRow="0" w:lastRow="0" w:firstColumn="0" w:lastColumn="0" w:noHBand="0" w:noVBand="0"/>
      </w:tblPr>
      <w:tblGrid>
        <w:gridCol w:w="2835"/>
        <w:gridCol w:w="7540"/>
      </w:tblGrid>
      <w:tr w:rsidR="00BD37F7" w:rsidRPr="007C6442" w:rsidTr="00372ACC">
        <w:trPr>
          <w:trHeight w:val="170"/>
        </w:trPr>
        <w:tc>
          <w:tcPr>
            <w:tcW w:w="2835" w:type="dxa"/>
            <w:shd w:val="clear" w:color="auto" w:fill="auto"/>
          </w:tcPr>
          <w:p w:rsidR="00BD37F7" w:rsidRPr="0012713B" w:rsidRDefault="00BD37F7" w:rsidP="00BD37F7">
            <w:pPr>
              <w:pStyle w:val="ECVLeftHeading"/>
              <w:ind w:left="142" w:right="798"/>
              <w:jc w:val="both"/>
              <w:rPr>
                <w:rFonts w:cs="Arial"/>
                <w:color w:val="1F3864"/>
                <w:sz w:val="20"/>
                <w:szCs w:val="20"/>
              </w:rPr>
            </w:pPr>
            <w:bookmarkStart w:id="0" w:name="_GoBack" w:colFirst="1" w:colLast="1"/>
            <w:r w:rsidRPr="0012713B">
              <w:rPr>
                <w:rFonts w:cs="Arial"/>
                <w:color w:val="2F5496"/>
                <w:sz w:val="20"/>
                <w:szCs w:val="20"/>
              </w:rPr>
              <w:t>Publication</w:t>
            </w:r>
          </w:p>
        </w:tc>
        <w:tc>
          <w:tcPr>
            <w:tcW w:w="7540" w:type="dxa"/>
            <w:shd w:val="clear" w:color="auto" w:fill="auto"/>
            <w:vAlign w:val="bottom"/>
          </w:tcPr>
          <w:p w:rsidR="00BD37F7" w:rsidRPr="007C6442" w:rsidRDefault="00BD37F7" w:rsidP="00BD37F7">
            <w:pPr>
              <w:pStyle w:val="Body"/>
              <w:numPr>
                <w:ilvl w:val="0"/>
                <w:numId w:val="1"/>
              </w:numPr>
              <w:ind w:left="430" w:right="798"/>
              <w:jc w:val="both"/>
              <w:rPr>
                <w:rFonts w:ascii="Arial" w:hAnsi="Arial" w:cs="Arial"/>
                <w:b/>
                <w:bCs/>
                <w:sz w:val="20"/>
                <w:szCs w:val="20"/>
                <w:lang w:val="en-US"/>
              </w:rPr>
            </w:pPr>
            <w:r w:rsidRPr="007C6442">
              <w:rPr>
                <w:rFonts w:ascii="Arial" w:hAnsi="Arial" w:cs="Arial"/>
                <w:b/>
                <w:bCs/>
                <w:sz w:val="20"/>
                <w:szCs w:val="20"/>
                <w:lang w:val="en-US"/>
              </w:rPr>
              <w:t xml:space="preserve">Sitaresmi, P. I., </w:t>
            </w:r>
            <w:r w:rsidRPr="007C6442">
              <w:rPr>
                <w:rFonts w:ascii="Arial" w:hAnsi="Arial" w:cs="Arial"/>
                <w:bCs/>
                <w:sz w:val="20"/>
                <w:szCs w:val="20"/>
                <w:lang w:val="en-US"/>
              </w:rPr>
              <w:t>Widyobroto B. P., Bintara, S., Widayati, D. T. 2020. Effects of body condition score and estrus phase on blood metabolites and steroid hormones in Saanen goats in the tropics. Veterinary World, 13(5):833-839. (</w:t>
            </w:r>
            <w:r w:rsidRPr="007C6442">
              <w:rPr>
                <w:rFonts w:ascii="Arial" w:hAnsi="Arial" w:cs="Arial"/>
                <w:bCs/>
                <w:i/>
                <w:iCs/>
                <w:sz w:val="20"/>
                <w:szCs w:val="20"/>
                <w:lang w:val="en-US"/>
              </w:rPr>
              <w:t>Scopus Q1</w:t>
            </w:r>
            <w:r w:rsidRPr="007C6442">
              <w:rPr>
                <w:rFonts w:ascii="Arial" w:hAnsi="Arial" w:cs="Arial"/>
                <w:bCs/>
                <w:sz w:val="20"/>
                <w:szCs w:val="20"/>
                <w:lang w:val="en-US"/>
              </w:rPr>
              <w:t>)</w:t>
            </w:r>
          </w:p>
          <w:p w:rsidR="00BD37F7" w:rsidRPr="007C6442" w:rsidRDefault="00BD37F7" w:rsidP="00BD37F7">
            <w:pPr>
              <w:pStyle w:val="Body"/>
              <w:numPr>
                <w:ilvl w:val="0"/>
                <w:numId w:val="1"/>
              </w:numPr>
              <w:ind w:left="430" w:right="798"/>
              <w:jc w:val="both"/>
              <w:rPr>
                <w:rFonts w:ascii="Arial" w:hAnsi="Arial" w:cs="Arial"/>
                <w:bCs/>
                <w:sz w:val="20"/>
                <w:szCs w:val="20"/>
                <w:lang w:val="en-US"/>
              </w:rPr>
            </w:pPr>
            <w:r w:rsidRPr="007C6442">
              <w:rPr>
                <w:rFonts w:ascii="Arial" w:hAnsi="Arial" w:cs="Arial"/>
                <w:b/>
                <w:bCs/>
                <w:sz w:val="20"/>
                <w:szCs w:val="20"/>
                <w:lang w:val="en-US"/>
              </w:rPr>
              <w:t>Sitaresmi, P. I.,</w:t>
            </w:r>
            <w:r w:rsidRPr="007C6442">
              <w:rPr>
                <w:rFonts w:ascii="Arial" w:hAnsi="Arial" w:cs="Arial"/>
                <w:bCs/>
                <w:sz w:val="20"/>
                <w:szCs w:val="20"/>
                <w:lang w:val="en-US"/>
              </w:rPr>
              <w:t xml:space="preserve"> Widyobroto B. P., Bintara, S., Widayati, D. T. 2017 Progesterone and Biochemical Profile of Ettawa-Saanen Crossbreed Goats in Turi Area, Yogyakarta- Indonesia. Int. J. Dairy. Sci. 12: 289-294. (Scopus Q3)</w:t>
            </w:r>
          </w:p>
          <w:p w:rsidR="00BD37F7" w:rsidRPr="007C6442" w:rsidRDefault="00BD37F7" w:rsidP="00BD37F7">
            <w:pPr>
              <w:pStyle w:val="Body"/>
              <w:numPr>
                <w:ilvl w:val="0"/>
                <w:numId w:val="1"/>
              </w:numPr>
              <w:ind w:left="430" w:right="798"/>
              <w:jc w:val="both"/>
              <w:rPr>
                <w:rFonts w:ascii="Arial" w:hAnsi="Arial" w:cs="Arial"/>
                <w:bCs/>
                <w:sz w:val="20"/>
                <w:szCs w:val="20"/>
                <w:lang w:val="en-US"/>
              </w:rPr>
            </w:pPr>
            <w:r w:rsidRPr="007C6442">
              <w:rPr>
                <w:rFonts w:ascii="Arial" w:hAnsi="Arial" w:cs="Arial"/>
                <w:bCs/>
                <w:sz w:val="20"/>
                <w:szCs w:val="20"/>
                <w:lang w:val="en-US"/>
              </w:rPr>
              <w:t>Widayati, D. T.,</w:t>
            </w:r>
            <w:r w:rsidRPr="007C6442">
              <w:rPr>
                <w:rFonts w:ascii="Arial" w:hAnsi="Arial" w:cs="Arial"/>
                <w:b/>
                <w:bCs/>
                <w:sz w:val="20"/>
                <w:szCs w:val="20"/>
                <w:lang w:val="en-US"/>
              </w:rPr>
              <w:t xml:space="preserve"> Sitaresmi, P. I., </w:t>
            </w:r>
            <w:r w:rsidRPr="007C6442">
              <w:rPr>
                <w:rFonts w:ascii="Arial" w:hAnsi="Arial" w:cs="Arial"/>
                <w:bCs/>
                <w:sz w:val="20"/>
                <w:szCs w:val="20"/>
                <w:lang w:val="en-US"/>
              </w:rPr>
              <w:t>Widyobroto, Bintara, S., Widayati, D. T. 2018. Estrus detection through vaginal pH in Saanen Ettawah Crossbreed Goats. Pak. J. Biol. Sci., 21: 383-386. (Scopus Q3)</w:t>
            </w:r>
          </w:p>
          <w:p w:rsidR="00BD37F7" w:rsidRPr="007C6442" w:rsidRDefault="00BD37F7" w:rsidP="00BD37F7">
            <w:pPr>
              <w:pStyle w:val="Body"/>
              <w:numPr>
                <w:ilvl w:val="0"/>
                <w:numId w:val="1"/>
              </w:numPr>
              <w:ind w:left="430" w:right="798"/>
              <w:jc w:val="both"/>
              <w:rPr>
                <w:rFonts w:ascii="Arial" w:hAnsi="Arial" w:cs="Arial"/>
                <w:bCs/>
                <w:sz w:val="20"/>
                <w:szCs w:val="20"/>
                <w:lang w:val="en-ID"/>
              </w:rPr>
            </w:pPr>
            <w:r w:rsidRPr="007C6442">
              <w:rPr>
                <w:rFonts w:ascii="Arial" w:hAnsi="Arial" w:cs="Arial"/>
                <w:bCs/>
                <w:sz w:val="20"/>
                <w:szCs w:val="20"/>
                <w:lang w:val="en-ID"/>
              </w:rPr>
              <w:t>Hudaya M. F</w:t>
            </w:r>
            <w:r w:rsidRPr="007C6442">
              <w:rPr>
                <w:rFonts w:ascii="Arial" w:hAnsi="Arial" w:cs="Arial"/>
                <w:b/>
                <w:bCs/>
                <w:sz w:val="20"/>
                <w:szCs w:val="20"/>
                <w:lang w:val="en-ID"/>
              </w:rPr>
              <w:t xml:space="preserve"> Sitaresmi, P. I., </w:t>
            </w:r>
            <w:r w:rsidRPr="007C6442">
              <w:rPr>
                <w:rFonts w:ascii="Arial" w:hAnsi="Arial" w:cs="Arial"/>
                <w:bCs/>
                <w:sz w:val="20"/>
                <w:szCs w:val="20"/>
                <w:lang w:val="en-ID"/>
              </w:rPr>
              <w:t xml:space="preserve">Noviandi, C. T., Widyobroto, B. P., Widayati, D. T. 2020. Behaviour and blood profile in Friesian Holstein dairy cows in the special region of Yogyakarta, Indonesia. J. Anim. Behav. Biometeorol. 8:244-249. (Scopus Q3) </w:t>
            </w:r>
          </w:p>
          <w:p w:rsidR="00BD37F7" w:rsidRPr="007C6442" w:rsidRDefault="00BD37F7" w:rsidP="00BD37F7">
            <w:pPr>
              <w:pStyle w:val="Body"/>
              <w:numPr>
                <w:ilvl w:val="0"/>
                <w:numId w:val="1"/>
              </w:numPr>
              <w:ind w:left="430" w:right="798"/>
              <w:jc w:val="both"/>
              <w:rPr>
                <w:rFonts w:ascii="Arial" w:hAnsi="Arial" w:cs="Arial"/>
                <w:b/>
                <w:bCs/>
                <w:sz w:val="20"/>
                <w:szCs w:val="20"/>
                <w:lang w:val="en-ID"/>
              </w:rPr>
            </w:pPr>
            <w:r w:rsidRPr="007C6442">
              <w:rPr>
                <w:rFonts w:ascii="Arial" w:hAnsi="Arial" w:cs="Arial"/>
                <w:bCs/>
                <w:sz w:val="20"/>
                <w:szCs w:val="20"/>
                <w:lang w:val="en-ID"/>
              </w:rPr>
              <w:t>Hudaya M. F</w:t>
            </w:r>
            <w:r w:rsidRPr="007C6442">
              <w:rPr>
                <w:rFonts w:ascii="Arial" w:hAnsi="Arial" w:cs="Arial"/>
                <w:b/>
                <w:bCs/>
                <w:sz w:val="20"/>
                <w:szCs w:val="20"/>
                <w:lang w:val="en-ID"/>
              </w:rPr>
              <w:t xml:space="preserve"> Sitaresmi, P. I</w:t>
            </w:r>
            <w:r w:rsidRPr="007C6442">
              <w:rPr>
                <w:rFonts w:ascii="Arial" w:hAnsi="Arial" w:cs="Arial"/>
                <w:bCs/>
                <w:sz w:val="20"/>
                <w:szCs w:val="20"/>
                <w:lang w:val="en-ID"/>
              </w:rPr>
              <w:t>., Widayati, D. T. 2021. The Effect of Different Dietary Energy and Protein Sources on Blood Profile of Crossbreed Holstein Dairy Cows Raised in Small Stake Holder Farms. World Vet. J., 11(12): 307-312. (Scopus Q4)</w:t>
            </w:r>
            <w:r w:rsidRPr="007C6442">
              <w:rPr>
                <w:rFonts w:ascii="Arial" w:hAnsi="Arial" w:cs="Arial"/>
                <w:b/>
                <w:bCs/>
                <w:sz w:val="20"/>
                <w:szCs w:val="20"/>
                <w:lang w:val="en-ID"/>
              </w:rPr>
              <w:t xml:space="preserve"> </w:t>
            </w:r>
          </w:p>
          <w:p w:rsidR="00BD37F7" w:rsidRPr="007C6442" w:rsidRDefault="00BD37F7" w:rsidP="00BD37F7">
            <w:pPr>
              <w:pStyle w:val="Body"/>
              <w:numPr>
                <w:ilvl w:val="0"/>
                <w:numId w:val="1"/>
              </w:numPr>
              <w:ind w:left="430" w:right="798"/>
              <w:jc w:val="both"/>
              <w:rPr>
                <w:rFonts w:ascii="Arial" w:hAnsi="Arial" w:cs="Arial"/>
                <w:sz w:val="20"/>
                <w:szCs w:val="20"/>
              </w:rPr>
            </w:pPr>
            <w:r w:rsidRPr="007C6442">
              <w:rPr>
                <w:rFonts w:ascii="Arial" w:hAnsi="Arial" w:cs="Arial"/>
                <w:b/>
                <w:bCs/>
                <w:sz w:val="20"/>
                <w:szCs w:val="20"/>
                <w:lang w:val="en-US"/>
              </w:rPr>
              <w:t>Sitaresmi, P. I.,</w:t>
            </w:r>
            <w:r w:rsidRPr="007C6442">
              <w:rPr>
                <w:rFonts w:ascii="Arial" w:hAnsi="Arial" w:cs="Arial"/>
                <w:sz w:val="20"/>
                <w:szCs w:val="20"/>
                <w:lang w:val="en-US"/>
              </w:rPr>
              <w:t xml:space="preserve"> Widyobroto B. P., Bintara, S., Widayati, D. T. 2019. Blood and Hormonal Profile Association with the Length of Estrous cycle in Saanen Ettawah crossbreed Goat. Asian J. Biol. Sci., 12:187-191. (ADL and Cambridge Scientific indexed)</w:t>
            </w:r>
          </w:p>
          <w:p w:rsidR="00BD37F7" w:rsidRPr="00EC248E" w:rsidRDefault="00BD37F7" w:rsidP="00BD37F7">
            <w:pPr>
              <w:pStyle w:val="ECVComments"/>
              <w:numPr>
                <w:ilvl w:val="0"/>
                <w:numId w:val="1"/>
              </w:numPr>
              <w:ind w:left="430" w:right="798"/>
              <w:jc w:val="both"/>
              <w:rPr>
                <w:rFonts w:cs="Arial"/>
                <w:color w:val="000000"/>
                <w:sz w:val="20"/>
                <w:szCs w:val="20"/>
              </w:rPr>
            </w:pPr>
            <w:r w:rsidRPr="007C6442">
              <w:rPr>
                <w:rFonts w:cs="Arial"/>
                <w:color w:val="000000"/>
                <w:sz w:val="20"/>
                <w:szCs w:val="20"/>
              </w:rPr>
              <w:t xml:space="preserve"> </w:t>
            </w:r>
            <w:r w:rsidRPr="007C6442">
              <w:rPr>
                <w:rFonts w:cs="Arial"/>
                <w:b/>
                <w:bCs/>
                <w:color w:val="000000"/>
                <w:sz w:val="20"/>
                <w:szCs w:val="20"/>
                <w:lang w:val="en-US"/>
              </w:rPr>
              <w:t>Sitaresmi, P. I.,</w:t>
            </w:r>
            <w:r w:rsidRPr="007C6442">
              <w:rPr>
                <w:rFonts w:cs="Arial"/>
                <w:color w:val="000000"/>
                <w:sz w:val="20"/>
                <w:szCs w:val="20"/>
                <w:lang w:val="en-US"/>
              </w:rPr>
              <w:t xml:space="preserve"> Widyobroto B. P., Bintara, S., Widayati, D. T. 2019. Exfoliative vaginal cytology of Saanen goat (</w:t>
            </w:r>
            <w:r w:rsidRPr="007C6442">
              <w:rPr>
                <w:rFonts w:cs="Arial"/>
                <w:i/>
                <w:iCs/>
                <w:color w:val="000000"/>
                <w:sz w:val="20"/>
                <w:szCs w:val="20"/>
                <w:lang w:val="en-US"/>
              </w:rPr>
              <w:t>Capra hircus</w:t>
            </w:r>
            <w:r w:rsidRPr="007C6442">
              <w:rPr>
                <w:rFonts w:cs="Arial"/>
                <w:color w:val="000000"/>
                <w:sz w:val="20"/>
                <w:szCs w:val="20"/>
                <w:lang w:val="en-US"/>
              </w:rPr>
              <w:t xml:space="preserve">) during estrus cycle. IOP Conf. Series: Earth and Environmental Science. </w:t>
            </w:r>
            <w:r w:rsidRPr="007C6442">
              <w:rPr>
                <w:rFonts w:cs="Arial"/>
                <w:bCs/>
                <w:color w:val="000000"/>
                <w:sz w:val="20"/>
                <w:szCs w:val="20"/>
                <w:lang w:val="en-US"/>
              </w:rPr>
              <w:t>387 (2019).012009. (Proceeding)</w:t>
            </w:r>
          </w:p>
          <w:p w:rsidR="00BD37F7" w:rsidRPr="00EC248E" w:rsidRDefault="00BD37F7" w:rsidP="00BD37F7">
            <w:pPr>
              <w:pStyle w:val="ECVComments"/>
              <w:numPr>
                <w:ilvl w:val="0"/>
                <w:numId w:val="1"/>
              </w:numPr>
              <w:ind w:left="430" w:right="798"/>
              <w:jc w:val="both"/>
              <w:rPr>
                <w:rFonts w:cs="Arial"/>
                <w:color w:val="000000"/>
                <w:sz w:val="20"/>
                <w:szCs w:val="20"/>
              </w:rPr>
            </w:pPr>
            <w:r w:rsidRPr="007C6442">
              <w:rPr>
                <w:rFonts w:cs="Arial"/>
                <w:b/>
                <w:bCs/>
                <w:color w:val="000000"/>
                <w:sz w:val="20"/>
                <w:szCs w:val="20"/>
                <w:lang w:val="en-US"/>
              </w:rPr>
              <w:t>Sitaresmi, P. I.,</w:t>
            </w:r>
            <w:r w:rsidRPr="007C6442">
              <w:rPr>
                <w:rFonts w:cs="Arial"/>
                <w:color w:val="000000"/>
                <w:sz w:val="20"/>
                <w:szCs w:val="20"/>
                <w:lang w:val="en-US"/>
              </w:rPr>
              <w:t xml:space="preserve"> Astuti, P. K., Widyobroto, Bintara, S., Widayati, D. T. 2018. Exfoliative vaginal cytology and vaginal acidity profile in Ettawa-Saanen grade does. International Journal of Pure and Applied Matematics. 118 No. 24 (Scopus Q3: special issues)</w:t>
            </w:r>
          </w:p>
          <w:p w:rsidR="00BD37F7" w:rsidRDefault="00BD37F7" w:rsidP="00BD37F7">
            <w:pPr>
              <w:pStyle w:val="ECVComments"/>
              <w:numPr>
                <w:ilvl w:val="0"/>
                <w:numId w:val="1"/>
              </w:numPr>
              <w:ind w:left="430" w:right="798"/>
              <w:jc w:val="both"/>
              <w:rPr>
                <w:rFonts w:cs="Arial"/>
                <w:color w:val="000000"/>
                <w:sz w:val="20"/>
                <w:szCs w:val="20"/>
                <w:lang w:val="en-US"/>
              </w:rPr>
            </w:pPr>
            <w:r w:rsidRPr="007C6442">
              <w:rPr>
                <w:rFonts w:cs="Arial"/>
                <w:color w:val="000000"/>
                <w:sz w:val="20"/>
                <w:szCs w:val="20"/>
                <w:lang w:val="en-US"/>
              </w:rPr>
              <w:t xml:space="preserve">Kumala, S., </w:t>
            </w:r>
            <w:r w:rsidRPr="007C6442">
              <w:rPr>
                <w:rFonts w:cs="Arial"/>
                <w:b/>
                <w:bCs/>
                <w:color w:val="000000"/>
                <w:sz w:val="20"/>
                <w:szCs w:val="20"/>
                <w:lang w:val="en-US"/>
              </w:rPr>
              <w:t xml:space="preserve">Sitaresmi, P. I., </w:t>
            </w:r>
            <w:r w:rsidRPr="007C6442">
              <w:rPr>
                <w:rFonts w:cs="Arial"/>
                <w:color w:val="000000"/>
                <w:sz w:val="20"/>
                <w:szCs w:val="20"/>
                <w:lang w:val="en-US"/>
              </w:rPr>
              <w:t>Suranindyah Y., Widayati, D. T. Profiles of steroid hormones on follicular and luteal phase in Saanen Etawah crossbreed (SAPERA).</w:t>
            </w:r>
            <w:r>
              <w:rPr>
                <w:rFonts w:cs="Arial"/>
                <w:color w:val="000000"/>
                <w:sz w:val="20"/>
                <w:szCs w:val="20"/>
                <w:lang w:val="en-US"/>
              </w:rPr>
              <w:t xml:space="preserve"> 2022. </w:t>
            </w:r>
            <w:r w:rsidRPr="007C6442">
              <w:rPr>
                <w:rFonts w:cs="Arial"/>
                <w:color w:val="000000"/>
                <w:sz w:val="20"/>
                <w:szCs w:val="20"/>
                <w:lang w:val="en-US"/>
              </w:rPr>
              <w:t xml:space="preserve"> </w:t>
            </w:r>
            <w:r>
              <w:rPr>
                <w:rFonts w:cs="Arial"/>
                <w:color w:val="000000"/>
                <w:sz w:val="20"/>
                <w:szCs w:val="20"/>
                <w:lang w:val="en-US"/>
              </w:rPr>
              <w:t xml:space="preserve">Advances in Biological Science </w:t>
            </w:r>
            <w:proofErr w:type="gramStart"/>
            <w:r>
              <w:rPr>
                <w:rFonts w:cs="Arial"/>
                <w:color w:val="000000"/>
                <w:sz w:val="20"/>
                <w:szCs w:val="20"/>
                <w:lang w:val="en-US"/>
              </w:rPr>
              <w:t>Research,Atlantis</w:t>
            </w:r>
            <w:proofErr w:type="gramEnd"/>
            <w:r>
              <w:rPr>
                <w:rFonts w:cs="Arial"/>
                <w:color w:val="000000"/>
                <w:sz w:val="20"/>
                <w:szCs w:val="20"/>
                <w:lang w:val="en-US"/>
              </w:rPr>
              <w:t xml:space="preserve"> Press  2: 205-209</w:t>
            </w:r>
          </w:p>
          <w:p w:rsidR="00BD37F7" w:rsidRPr="007C6442" w:rsidRDefault="00BD37F7" w:rsidP="00BD37F7">
            <w:pPr>
              <w:pStyle w:val="ECVComments"/>
              <w:numPr>
                <w:ilvl w:val="0"/>
                <w:numId w:val="1"/>
              </w:numPr>
              <w:ind w:left="430" w:right="798"/>
              <w:jc w:val="both"/>
              <w:rPr>
                <w:rFonts w:cs="Arial"/>
                <w:color w:val="000000"/>
                <w:sz w:val="20"/>
                <w:szCs w:val="20"/>
                <w:lang w:val="en-US"/>
              </w:rPr>
            </w:pPr>
            <w:r>
              <w:rPr>
                <w:rFonts w:cs="Arial"/>
                <w:color w:val="000000"/>
                <w:sz w:val="20"/>
                <w:szCs w:val="20"/>
                <w:lang w:val="en-US"/>
              </w:rPr>
              <w:t xml:space="preserve">Syafitri, M., Prabowo, T. A., </w:t>
            </w:r>
            <w:r w:rsidRPr="00D44CD4">
              <w:rPr>
                <w:rFonts w:cs="Arial"/>
                <w:b/>
                <w:color w:val="000000"/>
                <w:sz w:val="20"/>
                <w:szCs w:val="20"/>
                <w:lang w:val="en-US"/>
              </w:rPr>
              <w:t>Sitaresmi, P. I.</w:t>
            </w:r>
            <w:r>
              <w:rPr>
                <w:rFonts w:cs="Arial"/>
                <w:b/>
                <w:color w:val="000000"/>
                <w:sz w:val="20"/>
                <w:szCs w:val="20"/>
                <w:lang w:val="en-US"/>
              </w:rPr>
              <w:t xml:space="preserve">, </w:t>
            </w:r>
            <w:r>
              <w:rPr>
                <w:rFonts w:cs="Arial"/>
                <w:color w:val="000000"/>
                <w:sz w:val="20"/>
                <w:szCs w:val="20"/>
                <w:lang w:val="en-US"/>
              </w:rPr>
              <w:t xml:space="preserve">Yusianti, L. M., Bintara, S., Widayati, D. T. 2022. The effect of glutathione addition in diluent semen on ram spermatozoa Quality. Advances in Biological Science </w:t>
            </w:r>
            <w:proofErr w:type="gramStart"/>
            <w:r>
              <w:rPr>
                <w:rFonts w:cs="Arial"/>
                <w:color w:val="000000"/>
                <w:sz w:val="20"/>
                <w:szCs w:val="20"/>
                <w:lang w:val="en-US"/>
              </w:rPr>
              <w:t>Research,Atlantis</w:t>
            </w:r>
            <w:proofErr w:type="gramEnd"/>
            <w:r>
              <w:rPr>
                <w:rFonts w:cs="Arial"/>
                <w:color w:val="000000"/>
                <w:sz w:val="20"/>
                <w:szCs w:val="20"/>
                <w:lang w:val="en-US"/>
              </w:rPr>
              <w:t xml:space="preserve"> Press  18: 251-255 </w:t>
            </w:r>
          </w:p>
          <w:p w:rsidR="00BD37F7" w:rsidRPr="007C6442" w:rsidRDefault="00BD37F7" w:rsidP="00BD37F7">
            <w:pPr>
              <w:pStyle w:val="ECVComments"/>
              <w:ind w:right="798" w:firstLine="4"/>
              <w:jc w:val="both"/>
              <w:rPr>
                <w:rFonts w:cs="Arial"/>
                <w:color w:val="000000"/>
                <w:sz w:val="20"/>
                <w:szCs w:val="20"/>
              </w:rPr>
            </w:pPr>
          </w:p>
        </w:tc>
      </w:tr>
      <w:bookmarkEnd w:id="0"/>
    </w:tbl>
    <w:p w:rsidR="00A73FD3" w:rsidRDefault="00A73FD3" w:rsidP="00BD37F7">
      <w:pPr>
        <w:ind w:right="798"/>
      </w:pPr>
    </w:p>
    <w:sectPr w:rsidR="00A73FD3" w:rsidSect="006B423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B47595"/>
    <w:multiLevelType w:val="hybridMultilevel"/>
    <w:tmpl w:val="EF8C4ED0"/>
    <w:lvl w:ilvl="0" w:tplc="05445728">
      <w:start w:val="1"/>
      <w:numFmt w:val="decimal"/>
      <w:lvlText w:val="%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F7"/>
    <w:rsid w:val="00187ACC"/>
    <w:rsid w:val="002F7464"/>
    <w:rsid w:val="00500A77"/>
    <w:rsid w:val="006B4235"/>
    <w:rsid w:val="00A73FD3"/>
    <w:rsid w:val="00BD3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BAC6"/>
  <w14:defaultImageDpi w14:val="32767"/>
  <w15:chartTrackingRefBased/>
  <w15:docId w15:val="{4C66BEBA-04FC-6946-9BF7-0B74A7FD5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37F7"/>
    <w:pPr>
      <w:widowControl w:val="0"/>
      <w:suppressAutoHyphens/>
    </w:pPr>
    <w:rPr>
      <w:rFonts w:ascii="Arial" w:eastAsia="SimSun" w:hAnsi="Arial" w:cs="Mangal"/>
      <w:color w:val="3F3A38"/>
      <w:spacing w:val="-6"/>
      <w:kern w:val="1"/>
      <w:sz w:val="16"/>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VLeftHeading">
    <w:name w:val="_ECV_LeftHeading"/>
    <w:basedOn w:val="Normal"/>
    <w:rsid w:val="00BD37F7"/>
    <w:pPr>
      <w:suppressLineNumbers/>
      <w:ind w:right="283"/>
      <w:jc w:val="right"/>
    </w:pPr>
    <w:rPr>
      <w:caps/>
      <w:color w:val="0E4194"/>
      <w:sz w:val="18"/>
    </w:rPr>
  </w:style>
  <w:style w:type="paragraph" w:customStyle="1" w:styleId="ECVComments">
    <w:name w:val="_ECV_Comments"/>
    <w:basedOn w:val="Normal"/>
    <w:rsid w:val="00BD37F7"/>
    <w:pPr>
      <w:spacing w:line="100" w:lineRule="atLeast"/>
      <w:jc w:val="center"/>
    </w:pPr>
    <w:rPr>
      <w:color w:val="FF0000"/>
    </w:rPr>
  </w:style>
  <w:style w:type="paragraph" w:customStyle="1" w:styleId="Body">
    <w:name w:val="Body"/>
    <w:rsid w:val="00BD37F7"/>
    <w:pPr>
      <w:pBdr>
        <w:top w:val="nil"/>
        <w:left w:val="nil"/>
        <w:bottom w:val="nil"/>
        <w:right w:val="nil"/>
        <w:between w:val="nil"/>
        <w:bar w:val="nil"/>
      </w:pBdr>
    </w:pPr>
    <w:rPr>
      <w:rFonts w:ascii="Calibri" w:eastAsia="Arial Unicode MS" w:hAnsi="Calibri" w:cs="Arial Unicode MS"/>
      <w:color w:val="000000"/>
      <w:u w:color="000000"/>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2022</Characters>
  <Application>Microsoft Office Word</Application>
  <DocSecurity>0</DocSecurity>
  <Lines>45</Lines>
  <Paragraphs>20</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1</cp:revision>
  <dcterms:created xsi:type="dcterms:W3CDTF">2023-02-23T15:19:00Z</dcterms:created>
  <dcterms:modified xsi:type="dcterms:W3CDTF">2023-02-23T15:20:00Z</dcterms:modified>
</cp:coreProperties>
</file>