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</w:pP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Alhassan E.H., 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  <w:lang w:val="en-GB"/>
        </w:rPr>
        <w:t>Ayisi, C.L.,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Benjamin K-T. (2022). Effects of preservation on Chemical composition and sensory analysis of skipjack tuna (</w:t>
      </w:r>
      <w:r>
        <w:rPr>
          <w:rFonts w:hint="default" w:ascii="Times New Roman" w:hAnsi="Times New Roman"/>
          <w:b w:val="0"/>
          <w:bCs/>
          <w:i/>
          <w:iCs/>
          <w:sz w:val="24"/>
          <w:szCs w:val="24"/>
          <w:highlight w:val="none"/>
          <w:lang w:val="en-GB"/>
        </w:rPr>
        <w:t>Katsuwonus pelamis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) in Tema, Ghana. Journal of Fisheries and Coastal Management. 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</w:pP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Gertrude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,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M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.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D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.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,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</w:rPr>
        <w:t>Ayisi C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  <w:lang w:val="en-GB"/>
        </w:rPr>
        <w:t>.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</w:rPr>
        <w:t>L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  <w:lang w:val="en-GB"/>
        </w:rPr>
        <w:t>.,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and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Alhassan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,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E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.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H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.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(2022).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Substitution of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f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ish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m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eal with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s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hea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n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ut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m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eal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in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d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iets of Nile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t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ilapia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f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ry on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g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rowth, feed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utilization, tissue histology and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economic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analysis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. Pakistan J. Zool., 54(3): 1385-1396,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fldChar w:fldCharType="begin"/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instrText xml:space="preserve"> HYPERLINK "https://dx.doi.org/10.17582/journal.pjz/20191014101045" </w:instrTex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fldChar w:fldCharType="separate"/>
      </w:r>
      <w:r>
        <w:rPr>
          <w:rStyle w:val="5"/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https://dx.doi.org/10.17582/journal.pjz/20191014101045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fldChar w:fldCharType="end"/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/>
          <w:bCs w:val="0"/>
          <w:sz w:val="36"/>
          <w:szCs w:val="36"/>
          <w:highlight w:val="yellow"/>
          <w:lang w:val="en-GB"/>
        </w:rPr>
        <w:t>SCOPUS Q4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/>
          <w:b/>
          <w:bCs w:val="0"/>
          <w:sz w:val="24"/>
          <w:szCs w:val="24"/>
          <w:highlight w:val="none"/>
        </w:rPr>
        <w:t>Ayisi, C.L.,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Afriyie, G.,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and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Owusu-Afriyie, G. (2022). Modulation of Muscle Growth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Related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Genes in Fish in Response to Plant Based Ingredients. Genetics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of Aquatic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Organisms, 6(1), GA413.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instrText xml:space="preserve"> HYPERLINK "http://doi.org/10.4194/GA413" </w:instrTex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fldChar w:fldCharType="separate"/>
      </w:r>
      <w:r>
        <w:rPr>
          <w:rStyle w:val="5"/>
          <w:rFonts w:hint="default" w:ascii="Times New Roman" w:hAnsi="Times New Roman"/>
          <w:b w:val="0"/>
          <w:bCs/>
          <w:sz w:val="24"/>
          <w:szCs w:val="24"/>
          <w:highlight w:val="none"/>
        </w:rPr>
        <w:t>http://doi.org/10.4194/GA413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fldChar w:fldCharType="end"/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/>
          <w:bCs w:val="0"/>
          <w:sz w:val="36"/>
          <w:szCs w:val="36"/>
          <w:highlight w:val="yellow"/>
          <w:lang w:val="en-GB"/>
        </w:rPr>
        <w:t>SCOPUS Q4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 w:val="0"/>
          <w:bCs/>
          <w:sz w:val="24"/>
          <w:szCs w:val="24"/>
          <w:highlight w:val="none"/>
        </w:rPr>
      </w:pPr>
      <w:r>
        <w:rPr>
          <w:rFonts w:hint="default" w:ascii="Times New Roman" w:hAnsi="Times New Roman"/>
          <w:b/>
          <w:bCs w:val="0"/>
          <w:sz w:val="24"/>
          <w:szCs w:val="24"/>
          <w:highlight w:val="none"/>
        </w:rPr>
        <w:t>Ayisi, C.L.,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 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000000"/>
          <w:sz w:val="24"/>
          <w:szCs w:val="24"/>
        </w:rPr>
        <w:t>Grace Debra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000000"/>
          <w:sz w:val="24"/>
          <w:szCs w:val="24"/>
          <w:lang w:val="en-GB"/>
        </w:rPr>
        <w:t xml:space="preserve">, G, and 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Alhassan, E.H. (2021)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. 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222222"/>
          <w:sz w:val="24"/>
          <w:szCs w:val="24"/>
        </w:rPr>
        <w:t>Effects of Feeding Frequency on Growth Performance of the Juvenile Bagrid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222222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222222"/>
          <w:sz w:val="24"/>
          <w:szCs w:val="24"/>
        </w:rPr>
        <w:t xml:space="preserve">Catfish, </w:t>
      </w:r>
      <w:r>
        <w:rPr>
          <w:rStyle w:val="6"/>
          <w:rFonts w:eastAsia="SimSun"/>
          <w:b w:val="0"/>
          <w:bCs/>
          <w:sz w:val="24"/>
          <w:szCs w:val="24"/>
        </w:rPr>
        <w:t>Chrysichthys nigrodigitatus</w:t>
      </w:r>
      <w:r>
        <w:rPr>
          <w:rStyle w:val="6"/>
          <w:rFonts w:hint="default" w:ascii="Times New Roman" w:eastAsia="SimSun"/>
          <w:b w:val="0"/>
          <w:bCs/>
          <w:i w:val="0"/>
          <w:iCs w:val="0"/>
          <w:sz w:val="24"/>
          <w:szCs w:val="24"/>
          <w:lang w:val="en-GB"/>
        </w:rPr>
        <w:t xml:space="preserve">. 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000000"/>
          <w:sz w:val="24"/>
          <w:szCs w:val="24"/>
        </w:rPr>
        <w:t>Egyptian Journal of Aquatic Biology &amp; Fisheries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000000"/>
          <w:sz w:val="24"/>
          <w:szCs w:val="24"/>
          <w:lang w:val="en-GB"/>
        </w:rPr>
        <w:t xml:space="preserve">, 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000000"/>
          <w:sz w:val="24"/>
          <w:szCs w:val="24"/>
        </w:rPr>
        <w:t>25(6): 513 – 527</w:t>
      </w:r>
      <w:r>
        <w:rPr>
          <w:rFonts w:hint="default" w:ascii="Times New Roman" w:hAnsi="Times New Roman" w:eastAsia="SimSun" w:cs="Times New Roman"/>
          <w:b w:val="0"/>
          <w:bCs/>
          <w:i w:val="0"/>
          <w:iCs w:val="0"/>
          <w:color w:val="000000"/>
          <w:sz w:val="24"/>
          <w:szCs w:val="24"/>
          <w:lang w:val="en-GB"/>
        </w:rPr>
        <w:t>.</w:t>
      </w:r>
      <w:r>
        <w:rPr>
          <w:rFonts w:ascii="SimSun" w:hAnsi="SimSun" w:eastAsia="SimSun" w:cs="SimSun"/>
          <w:b w:val="0"/>
          <w:bCs/>
          <w:sz w:val="24"/>
          <w:szCs w:val="24"/>
        </w:rPr>
        <w:t xml:space="preserve"> </w:t>
      </w:r>
      <w:r>
        <w:rPr>
          <w:rFonts w:hint="default" w:ascii="Times New Roman" w:hAnsi="Times New Roman"/>
          <w:b/>
          <w:bCs w:val="0"/>
          <w:sz w:val="36"/>
          <w:szCs w:val="36"/>
          <w:highlight w:val="yellow"/>
          <w:lang w:val="en-GB"/>
        </w:rPr>
        <w:t>SCOPUS Q3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/>
          <w:b/>
          <w:sz w:val="24"/>
          <w:szCs w:val="24"/>
          <w:highlight w:val="none"/>
        </w:rPr>
      </w:pPr>
      <w:r>
        <w:rPr>
          <w:rFonts w:hint="default" w:ascii="Times New Roman" w:hAnsi="Times New Roman"/>
          <w:b/>
          <w:sz w:val="24"/>
          <w:szCs w:val="24"/>
          <w:highlight w:val="none"/>
        </w:rPr>
        <w:t xml:space="preserve">Ayisi, C.L., 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Alhassan, E.H.,  and  Sarfo, F.  (2021). Substitution of fish oil with palm kernel oil in diets of </w:t>
      </w:r>
      <w:r>
        <w:rPr>
          <w:rFonts w:hint="default" w:ascii="Times New Roman" w:hAnsi="Times New Roman"/>
          <w:b w:val="0"/>
          <w:bCs/>
          <w:i/>
          <w:iCs/>
          <w:sz w:val="24"/>
          <w:szCs w:val="24"/>
          <w:highlight w:val="none"/>
        </w:rPr>
        <w:t>Oreochromis niloticus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fry: Effects on growth, feed utilization and economic estimates. Indonesian Aquaculture Journal, 16 (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2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):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99-107 </w:t>
      </w:r>
      <w:r>
        <w:rPr>
          <w:rFonts w:hint="default" w:ascii="Times New Roman" w:hAnsi="Times New Roman"/>
          <w:b/>
          <w:bCs w:val="0"/>
          <w:sz w:val="36"/>
          <w:szCs w:val="36"/>
          <w:highlight w:val="yellow"/>
          <w:lang w:val="en-GB"/>
        </w:rPr>
        <w:t>SCOPUS Q4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Aglago,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A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.,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  <w:lang w:val="en-GB"/>
        </w:rPr>
        <w:t xml:space="preserve">Ayisi, 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</w:rPr>
        <w:t>C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  <w:lang w:val="en-GB"/>
        </w:rPr>
        <w:t>.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</w:rPr>
        <w:t>L</w:t>
      </w:r>
      <w:r>
        <w:rPr>
          <w:rFonts w:hint="default" w:ascii="Times New Roman" w:hAnsi="Times New Roman"/>
          <w:b/>
          <w:bCs w:val="0"/>
          <w:sz w:val="24"/>
          <w:szCs w:val="24"/>
          <w:highlight w:val="none"/>
          <w:lang w:val="en-GB"/>
        </w:rPr>
        <w:t>.,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and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Akwasi Ampofo-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Y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eboah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(2021).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Effect of stocking density on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growth performance, feed utilization, proximate composition and water quality of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</w:t>
      </w:r>
      <w:bookmarkStart w:id="0" w:name="_GoBack"/>
      <w:bookmarkEnd w:id="0"/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juveniles Bagrid catfish, </w:t>
      </w:r>
      <w:r>
        <w:rPr>
          <w:rFonts w:hint="default" w:ascii="Times New Roman" w:hAnsi="Times New Roman"/>
          <w:b w:val="0"/>
          <w:bCs/>
          <w:i/>
          <w:iCs/>
          <w:sz w:val="24"/>
          <w:szCs w:val="24"/>
          <w:highlight w:val="none"/>
        </w:rPr>
        <w:t>Chrysichthys nigrodigitatus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 xml:space="preserve"> (Siluriformes: Claroteidae)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. Iranian Journal of Ichthyology, 8(4):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</w:rPr>
        <w:t>294-302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. DOI: 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fldChar w:fldCharType="begin"/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instrText xml:space="preserve"> HYPERLINK "http://dx.doi.org/10.22034/iji.v8i4.633" </w:instrTex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fldChar w:fldCharType="separate"/>
      </w:r>
      <w:r>
        <w:rPr>
          <w:rStyle w:val="5"/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>http://dx.doi.org/10.22034/iji.v8i4.633</w:t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fldChar w:fldCharType="end"/>
      </w:r>
      <w:r>
        <w:rPr>
          <w:rFonts w:hint="default" w:ascii="Times New Roman" w:hAnsi="Times New Roman"/>
          <w:b w:val="0"/>
          <w:bCs/>
          <w:sz w:val="24"/>
          <w:szCs w:val="24"/>
          <w:highlight w:val="none"/>
          <w:lang w:val="en-GB"/>
        </w:rPr>
        <w:t xml:space="preserve">  </w:t>
      </w:r>
      <w:r>
        <w:rPr>
          <w:rFonts w:hint="default" w:ascii="Times New Roman" w:hAnsi="Times New Roman"/>
          <w:b/>
          <w:bCs w:val="0"/>
          <w:sz w:val="36"/>
          <w:szCs w:val="36"/>
          <w:highlight w:val="yellow"/>
          <w:lang w:val="en-GB"/>
        </w:rPr>
        <w:t>SCOPUS Q3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b/>
          <w:bCs/>
          <w:sz w:val="36"/>
          <w:szCs w:val="36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Ayisi, C.L.,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Arimiyaw, A.O., Debra, G., and Dzifa M.G. (2021).  Effect of Mahogany Bark Extract on Growth, Feed Utilization and Proximate Composition in Catfish (</w:t>
      </w:r>
      <w:r>
        <w:rPr>
          <w:rFonts w:ascii="Times New Roman" w:hAnsi="Times New Roman" w:cs="Times New Roman"/>
          <w:i/>
          <w:iCs/>
          <w:sz w:val="24"/>
          <w:szCs w:val="24"/>
          <w:highlight w:val="none"/>
        </w:rPr>
        <w:t>Clarias gariepinus</w:t>
      </w:r>
      <w:r>
        <w:rPr>
          <w:rFonts w:ascii="Times New Roman" w:hAnsi="Times New Roman" w:cs="Times New Roman"/>
          <w:sz w:val="24"/>
          <w:szCs w:val="24"/>
          <w:highlight w:val="none"/>
        </w:rPr>
        <w:t>).  Journal of Advanced Veterinary Research, 11(4):203-207.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bCs/>
          <w:sz w:val="36"/>
          <w:szCs w:val="36"/>
          <w:highlight w:val="yellow"/>
          <w:lang w:val="en-GB"/>
        </w:rPr>
        <w:t>SCOPUS Q3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Ayisi, C. L. (2021)</w:t>
      </w:r>
      <w:r>
        <w:rPr>
          <w:rFonts w:ascii="Times New Roman" w:hAnsi="Times New Roman" w:cs="Times New Roman"/>
          <w:sz w:val="24"/>
          <w:szCs w:val="24"/>
        </w:rPr>
        <w:t>. Implication of total replacement of fish oil with vegetable oils on Nutritional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and lipid profiles of fish. IJOTA. 4(1): 14–23. </w:t>
      </w:r>
    </w:p>
    <w:p>
      <w:pPr>
        <w:numPr>
          <w:ilvl w:val="0"/>
          <w:numId w:val="0"/>
        </w:numPr>
        <w:tabs>
          <w:tab w:val="left" w:pos="425"/>
        </w:tabs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tabs>
          <w:tab w:val="left" w:pos="425"/>
        </w:tabs>
        <w:spacing w:after="160"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UNIVERSITY FOR DEVELOPMENT STUDIES (2018-2020)</w:t>
      </w:r>
    </w:p>
    <w:p>
      <w:pPr>
        <w:numPr>
          <w:ilvl w:val="0"/>
          <w:numId w:val="1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Cheng, Y., Zhao J-L.,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Ayisi, C.L.,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and Cao, X. </w:t>
      </w:r>
      <w:r>
        <w:rPr>
          <w:rFonts w:ascii="Times New Roman" w:hAnsi="Times New Roman" w:eastAsia="ｔ" w:cs="Times New Roman"/>
          <w:sz w:val="24"/>
          <w:szCs w:val="24"/>
          <w:highlight w:val="none"/>
        </w:rPr>
        <w:t>(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en-IN"/>
        </w:rPr>
        <w:t>2020).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Effects of salinity and alkalinity on fatty acids, free amino acids and related substance anabolic metabolism of Nile tilapia.</w:t>
      </w:r>
      <w:r>
        <w:rPr>
          <w:rFonts w:hint="default" w:ascii="Times New Roman" w:hAnsi="Times New Roman" w:cs="Times New Roman"/>
          <w:i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Aquculture and Fisheries. PII: S468-550X (20)30073-3 </w:t>
      </w:r>
    </w:p>
    <w:p>
      <w:pPr>
        <w:numPr>
          <w:ilvl w:val="0"/>
          <w:numId w:val="1"/>
        </w:numPr>
        <w:spacing w:after="200"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/>
          <w:bCs/>
          <w:highlight w:val="yellow"/>
          <w:lang w:val="en-GB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Afriyie, G., Wang, Z.</w:t>
      </w:r>
      <w:r>
        <w:rPr>
          <w:rFonts w:ascii="Times New Roman" w:hAnsi="Times New Roman" w:eastAsia="ｔ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Ayisi, C.L.,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Asiedu, B., and Guo, Y. </w:t>
      </w:r>
      <w:r>
        <w:rPr>
          <w:rFonts w:ascii="Times New Roman" w:hAnsi="Times New Roman" w:eastAsia="ｔ" w:cs="Times New Roman"/>
          <w:sz w:val="24"/>
          <w:szCs w:val="24"/>
          <w:highlight w:val="none"/>
        </w:rPr>
        <w:t>(2020).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 xml:space="preserve"> Complete mitochondrial</w:t>
      </w:r>
      <w:r>
        <w:rPr>
          <w:rFonts w:hint="default" w:ascii="Times New Roman" w:hAnsi="Times New Roman" w:eastAsia="ｔ" w:cs="Times New Roman"/>
          <w:i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>and assembled DNA barcoding analysis of Lutjanus fulgens (Valenciennes  1830) and its</w:t>
      </w:r>
      <w:r>
        <w:rPr>
          <w:rFonts w:hint="default" w:ascii="Times New Roman" w:hAnsi="Times New Roman" w:eastAsia="ｔ" w:cs="Times New Roman"/>
          <w:i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 xml:space="preserve">comparison with other Lutjanus species. </w:t>
      </w:r>
      <w:r>
        <w:rPr>
          <w:rFonts w:ascii="Times New Roman" w:hAnsi="Times New Roman" w:eastAsia="ｔ" w:cs="Times New Roman"/>
          <w:sz w:val="24"/>
          <w:szCs w:val="24"/>
          <w:highlight w:val="none"/>
        </w:rPr>
        <w:t>Ecology and Evolution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DOI:10.1002/ece3.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542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 </w:t>
      </w:r>
      <w:r>
        <w:rPr>
          <w:rFonts w:hint="default" w:ascii="Times New Roman" w:hAnsi="Times New Roman" w:cs="Times New Roman"/>
          <w:b/>
          <w:bCs/>
          <w:sz w:val="44"/>
          <w:szCs w:val="44"/>
          <w:highlight w:val="yellow"/>
          <w:lang w:val="en-GB"/>
        </w:rPr>
        <w:t>SCOPUS Q1</w:t>
      </w:r>
    </w:p>
    <w:p>
      <w:pPr>
        <w:numPr>
          <w:ilvl w:val="0"/>
          <w:numId w:val="1"/>
        </w:numPr>
        <w:spacing w:after="200"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Ayisi, C.L.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en-IN"/>
        </w:rPr>
        <w:t xml:space="preserve">, Apraku A. and Debra, G. </w:t>
      </w:r>
      <w:r>
        <w:rPr>
          <w:rFonts w:ascii="Times New Roman" w:hAnsi="Times New Roman" w:eastAsia="ｔ" w:cs="Times New Roman"/>
          <w:sz w:val="24"/>
          <w:szCs w:val="24"/>
          <w:highlight w:val="none"/>
        </w:rPr>
        <w:t>(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en-IN"/>
        </w:rPr>
        <w:t>2020).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en-IN"/>
        </w:rPr>
        <w:t>Evaluation of biochemical, fatty acid and amino acid composition and nutritional indices of salted tilapia from selected markets in Ghana.</w:t>
      </w:r>
      <w:r>
        <w:rPr>
          <w:rFonts w:hint="default" w:ascii="Times New Roman" w:hAnsi="Times New Roman" w:cs="Times New Roman"/>
          <w:bCs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en-IN"/>
        </w:rPr>
        <w:t xml:space="preserve"> Jourrnal of fisheries and life science. </w:t>
      </w:r>
      <w:r>
        <w:rPr>
          <w:rFonts w:ascii="Times New Roman" w:hAnsi="Times New Roman" w:cs="Times New Roman"/>
          <w:spacing w:val="22"/>
          <w:sz w:val="24"/>
          <w:szCs w:val="24"/>
          <w:highlight w:val="none"/>
        </w:rPr>
        <w:t>5(1):3</w:t>
      </w:r>
      <w:r>
        <w:rPr>
          <w:rFonts w:ascii="Times New Roman" w:hAnsi="Times New Roman" w:cs="Times New Roman"/>
          <w:sz w:val="24"/>
          <w:szCs w:val="24"/>
          <w:highlight w:val="none"/>
        </w:rPr>
        <w:t>6</w:t>
      </w:r>
      <w:r>
        <w:rPr>
          <w:rFonts w:ascii="Times New Roman" w:hAnsi="Times New Roman" w:cs="Times New Roman"/>
          <w:spacing w:val="22"/>
          <w:sz w:val="24"/>
          <w:szCs w:val="24"/>
          <w:highlight w:val="none"/>
        </w:rPr>
        <w:t>-43</w:t>
      </w:r>
    </w:p>
    <w:p>
      <w:pPr>
        <w:numPr>
          <w:ilvl w:val="0"/>
          <w:numId w:val="1"/>
        </w:numPr>
        <w:spacing w:after="200"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Afriyie, G., Guo, Y., Kuebutornye, F.K.A.,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Ayisi, C.L.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and Wang, Z.</w:t>
      </w:r>
      <w:r>
        <w:rPr>
          <w:rFonts w:ascii="Times New Roman" w:hAnsi="Times New Roman" w:eastAsia="ｔ" w:cs="Times New Roman"/>
          <w:sz w:val="24"/>
          <w:szCs w:val="24"/>
          <w:highlight w:val="none"/>
        </w:rPr>
        <w:t xml:space="preserve"> (2020). 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>Complete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ab/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>mitochondrial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ab/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 xml:space="preserve"> DNA sequence analysis of Bluespotted seabream, Pagarus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ab/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 xml:space="preserve">caeruleostictus. </w:t>
      </w:r>
      <w:r>
        <w:rPr>
          <w:rFonts w:ascii="Times New Roman" w:hAnsi="Times New Roman" w:eastAsia="ｔ" w:cs="Times New Roman"/>
          <w:sz w:val="24"/>
          <w:szCs w:val="24"/>
          <w:highlight w:val="none"/>
        </w:rPr>
        <w:t xml:space="preserve"> (Perciformes: Spridae).  Mitochondrial DNA Part B. </w:t>
      </w:r>
      <w:r>
        <w:rPr>
          <w:rFonts w:ascii="Times New Roman" w:hAnsi="Times New Roman" w:eastAsia="ｔ" w:cs="Times New Roman"/>
          <w:i/>
          <w:sz w:val="24"/>
          <w:szCs w:val="24"/>
          <w:highlight w:val="none"/>
        </w:rPr>
        <w:t>5(2), 1913-1914</w:t>
      </w:r>
      <w:r>
        <w:rPr>
          <w:rFonts w:ascii="Times New Roman" w:hAnsi="Times New Roman" w:eastAsia="ｔ" w:cs="Times New Roman"/>
          <w:sz w:val="24"/>
          <w:szCs w:val="24"/>
          <w:highlight w:val="none"/>
        </w:rPr>
        <w:t>.</w:t>
      </w:r>
      <w:r>
        <w:rPr>
          <w:rFonts w:hint="default" w:ascii="Times New Roman" w:hAnsi="Times New Roman" w:eastAsia="ｔ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bCs/>
          <w:sz w:val="44"/>
          <w:szCs w:val="44"/>
          <w:highlight w:val="yellow"/>
          <w:lang w:val="en-GB"/>
        </w:rPr>
        <w:t>SCOPUS Q4</w:t>
      </w:r>
    </w:p>
    <w:p>
      <w:pPr>
        <w:numPr>
          <w:ilvl w:val="0"/>
          <w:numId w:val="1"/>
        </w:numPr>
        <w:spacing w:after="200" w:line="360" w:lineRule="auto"/>
        <w:ind w:left="425" w:leftChars="0" w:hanging="425" w:firstLineChars="0"/>
        <w:jc w:val="both"/>
        <w:rPr>
          <w:rFonts w:ascii="Times New Roman" w:hAnsi="Times New Roman" w:cs="Times New Roman"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Afriyie, G., Huang, S., Dong, Z., Guo, Y., Kuebutornye, F. K. A.,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Ayisi, C.L.,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Asiedu, B. and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Wang,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Z. (2019).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DNA barcoding of Ghanaian fish species: Status and prospects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African Journal of Biotechnology.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18(27), 659-663.</w:t>
      </w:r>
      <w:r>
        <w:rPr>
          <w:rFonts w:hint="default" w:ascii="Times New Roman" w:hAnsi="Times New Roman" w:cs="Times New Roman"/>
          <w:i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bCs/>
          <w:sz w:val="44"/>
          <w:szCs w:val="44"/>
          <w:highlight w:val="yellow"/>
          <w:lang w:val="en-GB"/>
        </w:rPr>
        <w:t xml:space="preserve">AJOL </w:t>
      </w:r>
    </w:p>
    <w:p>
      <w:pPr>
        <w:numPr>
          <w:ilvl w:val="0"/>
          <w:numId w:val="1"/>
        </w:numPr>
        <w:spacing w:after="200"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Apraku A., Xuxiong H.,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Ayisi, C.L.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and Yussuf A. (2019). Potential of Corn Oils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Alternative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Dietary Lipid Source in Aquaculture Feeds. Journal of Applied Sciences.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>DOI:10.3923/jas.2019</w:t>
      </w:r>
    </w:p>
    <w:p>
      <w:pPr>
        <w:pStyle w:val="4"/>
        <w:numPr>
          <w:ilvl w:val="0"/>
          <w:numId w:val="1"/>
        </w:numPr>
        <w:spacing w:line="360" w:lineRule="auto"/>
        <w:ind w:left="425" w:leftChars="0" w:hanging="425" w:firstLineChars="0"/>
        <w:rPr>
          <w:rFonts w:ascii="Times New Roman" w:hAnsi="Times New Roman" w:eastAsia="ｔ"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t>Ayisi, C. L.,</w:t>
      </w:r>
      <w:r>
        <w:rPr>
          <w:rFonts w:ascii="Times New Roman" w:hAnsi="Times New Roman" w:eastAsia="ｔ"/>
          <w:sz w:val="24"/>
          <w:szCs w:val="24"/>
          <w:highlight w:val="none"/>
        </w:rPr>
        <w:t xml:space="preserve"> Zhao, J-L, Yamei, C., Apraku A. and Debra G. (2019). Effects of replacing fish oil</w:t>
      </w:r>
      <w:r>
        <w:rPr>
          <w:rFonts w:hint="default" w:ascii="Times New Roman" w:hAnsi="Times New Roman" w:eastAsia="ｔ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eastAsia="ｔ"/>
          <w:sz w:val="24"/>
          <w:szCs w:val="24"/>
          <w:highlight w:val="none"/>
        </w:rPr>
        <w:t>with palm in diets of Nile tilapia (</w:t>
      </w:r>
      <w:r>
        <w:rPr>
          <w:rFonts w:ascii="Times New Roman" w:hAnsi="Times New Roman" w:eastAsia="ｔ"/>
          <w:i/>
          <w:sz w:val="24"/>
          <w:szCs w:val="24"/>
          <w:highlight w:val="none"/>
        </w:rPr>
        <w:t>Oreochromis niloticus</w:t>
      </w:r>
      <w:r>
        <w:rPr>
          <w:rFonts w:ascii="Times New Roman" w:hAnsi="Times New Roman" w:eastAsia="ｔ"/>
          <w:sz w:val="24"/>
          <w:szCs w:val="24"/>
          <w:highlight w:val="none"/>
        </w:rPr>
        <w:t>) on muscle biochemical</w:t>
      </w:r>
      <w:r>
        <w:rPr>
          <w:rFonts w:hint="default" w:ascii="Times New Roman" w:hAnsi="Times New Roman" w:eastAsia="ｔ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eastAsia="ｔ"/>
          <w:sz w:val="24"/>
          <w:szCs w:val="24"/>
          <w:highlight w:val="none"/>
        </w:rPr>
        <w:t>composition,</w:t>
      </w:r>
      <w:r>
        <w:rPr>
          <w:rFonts w:hint="default" w:ascii="Times New Roman" w:hAnsi="Times New Roman" w:eastAsia="ｔ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eastAsia="ｔ"/>
          <w:sz w:val="24"/>
          <w:szCs w:val="24"/>
          <w:highlight w:val="none"/>
        </w:rPr>
        <w:t>enzyme activities, and mRNA expression of growth related genes. Fisheries and Aquatic</w:t>
      </w:r>
      <w:r>
        <w:rPr>
          <w:rFonts w:hint="default" w:ascii="Times New Roman" w:hAnsi="Times New Roman" w:eastAsia="ｔ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eastAsia="ｔ"/>
          <w:sz w:val="24"/>
          <w:szCs w:val="24"/>
          <w:highlight w:val="none"/>
        </w:rPr>
        <w:t>Science, 22:25</w:t>
      </w:r>
      <w:r>
        <w:rPr>
          <w:rFonts w:ascii="Times New Roman" w:hAnsi="Times New Roman" w:eastAsia="ｔ"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bCs/>
          <w:sz w:val="44"/>
          <w:szCs w:val="44"/>
          <w:highlight w:val="yellow"/>
          <w:lang w:val="en-GB"/>
        </w:rPr>
        <w:t>SCOPUS Q3</w:t>
      </w:r>
    </w:p>
    <w:p>
      <w:pPr>
        <w:pStyle w:val="4"/>
        <w:numPr>
          <w:ilvl w:val="0"/>
          <w:numId w:val="1"/>
        </w:numPr>
        <w:spacing w:line="360" w:lineRule="auto"/>
        <w:ind w:left="425" w:leftChars="0" w:hanging="425" w:firstLineChars="0"/>
        <w:rPr>
          <w:rFonts w:ascii="Times New Roman" w:hAnsi="Times New Roman"/>
          <w:b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t>Ayisi, C. L.,</w:t>
      </w:r>
      <w:r>
        <w:rPr>
          <w:rFonts w:ascii="Times New Roman" w:hAnsi="Times New Roman" w:eastAsia="ｔ"/>
          <w:sz w:val="24"/>
          <w:szCs w:val="24"/>
          <w:highlight w:val="none"/>
        </w:rPr>
        <w:t xml:space="preserve"> Zhao, J-L. and Apraku, A. (2019). </w:t>
      </w:r>
      <w:r>
        <w:rPr>
          <w:rFonts w:ascii="Times New Roman" w:hAnsi="Times New Roman"/>
          <w:sz w:val="24"/>
          <w:szCs w:val="24"/>
          <w:highlight w:val="none"/>
          <w:shd w:val="clear" w:color="auto" w:fill="FFFFFF"/>
        </w:rPr>
        <w:t>Consequences of replacing fish oil with</w:t>
      </w:r>
      <w:r>
        <w:rPr>
          <w:rFonts w:hint="default" w:ascii="Times New Roman" w:hAnsi="Times New Roman"/>
          <w:sz w:val="24"/>
          <w:szCs w:val="24"/>
          <w:highlight w:val="none"/>
          <w:shd w:val="clear" w:color="auto" w:fill="FFFFFF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  <w:shd w:val="clear" w:color="auto" w:fill="FFFFFF"/>
        </w:rPr>
        <w:t xml:space="preserve">vegetable oils in fish. </w:t>
      </w:r>
      <w:r>
        <w:rPr>
          <w:rFonts w:ascii="Times New Roman" w:hAnsi="Times New Roman"/>
          <w:sz w:val="24"/>
          <w:szCs w:val="24"/>
          <w:highlight w:val="none"/>
        </w:rPr>
        <w:t>J Anim Res Nutr 4: 1:3.</w:t>
      </w:r>
    </w:p>
    <w:p>
      <w:pPr>
        <w:numPr>
          <w:ilvl w:val="0"/>
          <w:numId w:val="1"/>
        </w:numPr>
        <w:spacing w:after="200"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Andrews, A., Huang X-X. and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Ayisi, C. L.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(2019).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Effects of alternative dietary oils on immune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response, expression of immune related genes, and disease resistance in juvenile Nile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tilapia,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Oreochromis niloticus. Aquaculture Nutrition</w:t>
      </w:r>
      <w:r>
        <w:rPr>
          <w:rFonts w:ascii="Times New Roman" w:hAnsi="Times New Roman" w:cs="Times New Roman"/>
          <w:sz w:val="24"/>
          <w:szCs w:val="24"/>
          <w:highlight w:val="none"/>
        </w:rPr>
        <w:t>, 1-12. DOI 10.1111/anu.12882</w:t>
      </w:r>
      <w:r>
        <w:rPr>
          <w:rFonts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bCs/>
          <w:sz w:val="44"/>
          <w:szCs w:val="44"/>
          <w:highlight w:val="yellow"/>
          <w:lang w:val="en-GB"/>
        </w:rPr>
        <w:t>SCOPUS Q1</w:t>
      </w:r>
    </w:p>
    <w:p>
      <w:pPr>
        <w:numPr>
          <w:ilvl w:val="0"/>
          <w:numId w:val="1"/>
        </w:numPr>
        <w:spacing w:after="200"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Liu, T., Zhang, G., Feng, Y., Kong, C.,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Ayisi, C.L.,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Huang, X-X.,   Xueming, H. (2019). Dietary soybean antigen impairs growth and health through stress-induced non-specific immune responses in Pacific white shrimp,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Litopenaeus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vannamei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Fish and Shellfish</w:t>
      </w:r>
      <w:r>
        <w:rPr>
          <w:rFonts w:hint="default" w:ascii="Times New Roman" w:hAnsi="Times New Roman" w:cs="Times New Roman"/>
          <w:i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Immunology</w:t>
      </w:r>
      <w:r>
        <w:rPr>
          <w:rFonts w:ascii="Times New Roman" w:hAnsi="Times New Roman" w:cs="Times New Roman"/>
          <w:sz w:val="24"/>
          <w:szCs w:val="24"/>
          <w:highlight w:val="none"/>
        </w:rPr>
        <w:t>, 84:124-129.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bCs/>
          <w:sz w:val="44"/>
          <w:szCs w:val="44"/>
          <w:highlight w:val="yellow"/>
          <w:lang w:val="en-GB"/>
        </w:rPr>
        <w:t>SCOPUS Q1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ｔ">
    <w:altName w:val="SimSun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D6882"/>
    <w:multiLevelType w:val="singleLevel"/>
    <w:tmpl w:val="19AD688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E3239"/>
    <w:rsid w:val="176E3239"/>
    <w:rsid w:val="6940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endnote text"/>
    <w:basedOn w:val="1"/>
    <w:qFormat/>
    <w:uiPriority w:val="99"/>
    <w:pPr>
      <w:spacing w:after="0" w:line="240" w:lineRule="auto"/>
    </w:pPr>
    <w:rPr>
      <w:rFonts w:ascii="Cambria" w:hAnsi="Cambria" w:eastAsia="Cambria" w:cs="Times New Roman"/>
      <w:sz w:val="20"/>
      <w:szCs w:val="20"/>
    </w:rPr>
  </w:style>
  <w:style w:type="character" w:styleId="5">
    <w:name w:val="Hyperlink"/>
    <w:basedOn w:val="2"/>
    <w:qFormat/>
    <w:uiPriority w:val="0"/>
    <w:rPr>
      <w:color w:val="0000FF"/>
      <w:u w:val="single"/>
    </w:rPr>
  </w:style>
  <w:style w:type="character" w:customStyle="1" w:styleId="6">
    <w:name w:val="fontstyle21"/>
    <w:qFormat/>
    <w:uiPriority w:val="0"/>
    <w:rPr>
      <w:rFonts w:hint="default" w:ascii="Times New Roman" w:hAnsi="Times New Roman" w:cs="Times New Roman"/>
      <w:b/>
      <w:bCs/>
      <w:i/>
      <w:iCs/>
      <w:color w:val="22222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2022-05-11T13:02:00Z</dcterms:created>
  <dc:creator>Ayisi Christian LARBI(Dr)</dc:creator>
  <cp:lastModifiedBy>Ayisi Christian LARBI(Dr)</cp:lastModifiedBy>
  <dcterms:modified xsi:type="dcterms:W3CDTF">2022-05-15T11:55:53Z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2057-11.2.0.11130</vt:lpwstr>
  </property>
  <property fmtid="{D5CDD505-2E9C-101B-9397-08002B2CF9AE}" pid="3" name="ICV">
    <vt:lpwstr>FCC6BEA5E476431F9812B370AEEFF7F0</vt:lpwstr>
  </property>
</Properties>
</file>