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DA4B85" w14:textId="27A01F5E" w:rsidR="00F80A05" w:rsidRPr="00F80A05" w:rsidRDefault="00F80A05" w:rsidP="00F80A05">
      <w:pPr>
        <w:pStyle w:val="ListParagraph"/>
        <w:numPr>
          <w:ilvl w:val="0"/>
          <w:numId w:val="2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0A05">
        <w:rPr>
          <w:rFonts w:ascii="Calibri-Light" w:eastAsia="Times New Roman" w:hAnsi="Calibri-Light" w:cs="Times New Roman"/>
          <w:color w:val="000000"/>
          <w:sz w:val="24"/>
          <w:szCs w:val="24"/>
        </w:rPr>
        <w:t>“Chitosan and alginate salt as biomaterials are potential natural</w:t>
      </w:r>
      <w:r>
        <w:rPr>
          <w:rFonts w:ascii="Calibri-Light" w:eastAsia="Times New Roman" w:hAnsi="Calibri-Light" w:cs="Times New Roman"/>
          <w:color w:val="000000"/>
          <w:sz w:val="24"/>
          <w:szCs w:val="24"/>
        </w:rPr>
        <w:t xml:space="preserve"> </w:t>
      </w:r>
      <w:r w:rsidRPr="00F80A05">
        <w:rPr>
          <w:rFonts w:ascii="Calibri-Light" w:eastAsia="Times New Roman" w:hAnsi="Calibri-Light" w:cs="Times New Roman"/>
          <w:color w:val="000000"/>
          <w:sz w:val="24"/>
          <w:szCs w:val="24"/>
        </w:rPr>
        <w:t>adjuvants for killed cholera vaccine”. Journal of Biomedical</w:t>
      </w:r>
      <w:r>
        <w:rPr>
          <w:rFonts w:ascii="Calibri-Light" w:eastAsia="Times New Roman" w:hAnsi="Calibri-Light" w:cs="Times New Roman"/>
          <w:color w:val="000000"/>
          <w:sz w:val="24"/>
          <w:szCs w:val="24"/>
        </w:rPr>
        <w:t xml:space="preserve"> </w:t>
      </w:r>
      <w:r w:rsidRPr="00F80A05">
        <w:rPr>
          <w:rFonts w:ascii="Calibri-Light" w:eastAsia="Times New Roman" w:hAnsi="Calibri-Light" w:cs="Times New Roman"/>
          <w:color w:val="000000"/>
          <w:sz w:val="24"/>
          <w:szCs w:val="24"/>
        </w:rPr>
        <w:t>Materials Research Part A. 2021 Jun 11.</w:t>
      </w:r>
      <w:r>
        <w:rPr>
          <w:rFonts w:ascii="Calibri-Light" w:eastAsia="Times New Roman" w:hAnsi="Calibri-Light" w:cs="Times New Roman"/>
          <w:color w:val="000000"/>
          <w:sz w:val="24"/>
          <w:szCs w:val="24"/>
        </w:rPr>
        <w:t xml:space="preserve"> </w:t>
      </w:r>
      <w:r w:rsidRPr="00F80A05">
        <w:rPr>
          <w:rFonts w:ascii="Calibri-Light" w:eastAsia="Times New Roman" w:hAnsi="Calibri-Light" w:cs="Times New Roman"/>
          <w:color w:val="0563C1"/>
          <w:sz w:val="24"/>
          <w:szCs w:val="24"/>
        </w:rPr>
        <w:t>https://doi.org/10.1002/jbm.a.37240</w:t>
      </w:r>
    </w:p>
    <w:p w14:paraId="449C7941" w14:textId="2DB55087" w:rsidR="00F80A05" w:rsidRPr="00F80A05" w:rsidRDefault="00F80A05" w:rsidP="00F80A05">
      <w:pPr>
        <w:pStyle w:val="ListParagraph"/>
        <w:numPr>
          <w:ilvl w:val="0"/>
          <w:numId w:val="2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0A05">
        <w:rPr>
          <w:rFonts w:ascii="Calibri-Light" w:eastAsia="Times New Roman" w:hAnsi="Calibri-Light" w:cs="Times New Roman"/>
          <w:color w:val="000000"/>
          <w:sz w:val="24"/>
          <w:szCs w:val="24"/>
        </w:rPr>
        <w:t>“Alginate-coated chitosan nanoparticles act as effective</w:t>
      </w:r>
      <w:r>
        <w:rPr>
          <w:rFonts w:ascii="Calibri-Light" w:eastAsia="Times New Roman" w:hAnsi="Calibri-Light" w:cs="Times New Roman"/>
          <w:color w:val="000000"/>
          <w:sz w:val="24"/>
          <w:szCs w:val="24"/>
        </w:rPr>
        <w:t xml:space="preserve"> </w:t>
      </w:r>
      <w:r w:rsidRPr="00F80A05">
        <w:rPr>
          <w:rFonts w:ascii="Calibri-Light" w:eastAsia="Times New Roman" w:hAnsi="Calibri-Light" w:cs="Times New Roman"/>
          <w:color w:val="000000"/>
          <w:sz w:val="24"/>
          <w:szCs w:val="24"/>
        </w:rPr>
        <w:t>adjuvant for hepatitis A vaccine in mice”. International journal</w:t>
      </w:r>
      <w:r>
        <w:rPr>
          <w:rFonts w:ascii="Calibri-Light" w:eastAsia="Times New Roman" w:hAnsi="Calibri-Light" w:cs="Times New Roman"/>
          <w:color w:val="000000"/>
          <w:sz w:val="24"/>
          <w:szCs w:val="24"/>
        </w:rPr>
        <w:t xml:space="preserve"> </w:t>
      </w:r>
      <w:r w:rsidRPr="00F80A05">
        <w:rPr>
          <w:rFonts w:ascii="Calibri-Light" w:eastAsia="Times New Roman" w:hAnsi="Calibri-Light" w:cs="Times New Roman"/>
          <w:color w:val="000000"/>
          <w:sz w:val="24"/>
          <w:szCs w:val="24"/>
        </w:rPr>
        <w:t>of biological macromolecules. 2020 Jun 1; 152:904-12.</w:t>
      </w:r>
      <w:r>
        <w:rPr>
          <w:rFonts w:ascii="Calibri-Light" w:eastAsia="Times New Roman" w:hAnsi="Calibri-Light" w:cs="Times New Roman"/>
          <w:color w:val="000000"/>
          <w:sz w:val="24"/>
          <w:szCs w:val="24"/>
        </w:rPr>
        <w:t xml:space="preserve"> </w:t>
      </w:r>
      <w:r w:rsidRPr="00F80A05">
        <w:rPr>
          <w:rFonts w:ascii="Calibri-Light" w:eastAsia="Times New Roman" w:hAnsi="Calibri-Light" w:cs="Times New Roman"/>
          <w:color w:val="0563C1"/>
          <w:sz w:val="24"/>
          <w:szCs w:val="24"/>
        </w:rPr>
        <w:t xml:space="preserve"> </w:t>
      </w:r>
      <w:r w:rsidRPr="00F80A05">
        <w:rPr>
          <w:rFonts w:ascii="Calibri-Light" w:eastAsia="Times New Roman" w:hAnsi="Calibri-Light" w:cs="Times New Roman"/>
          <w:color w:val="0563C1"/>
          <w:sz w:val="24"/>
          <w:szCs w:val="24"/>
        </w:rPr>
        <w:t>https://doi.org/10.1016/j.ijbiomac.2020.02.287</w:t>
      </w:r>
    </w:p>
    <w:p w14:paraId="3C586D81" w14:textId="7B874880" w:rsidR="00CC57DB" w:rsidRPr="00CC57DB" w:rsidRDefault="00CC57DB" w:rsidP="00C52889">
      <w:pPr>
        <w:pStyle w:val="ListParagraph"/>
        <w:numPr>
          <w:ilvl w:val="0"/>
          <w:numId w:val="2"/>
        </w:numPr>
        <w:shd w:val="clear" w:color="auto" w:fill="FFFFFF"/>
        <w:bidi w:val="0"/>
        <w:rPr>
          <w:rFonts w:ascii="Calibri-Light" w:eastAsia="Times New Roman" w:hAnsi="Calibri-Light" w:cs="Times New Roman"/>
          <w:color w:val="000000"/>
          <w:sz w:val="24"/>
          <w:szCs w:val="24"/>
        </w:rPr>
      </w:pPr>
      <w:hyperlink r:id="rId5" w:history="1">
        <w:r w:rsidRPr="00CC57DB">
          <w:rPr>
            <w:rFonts w:ascii="Calibri-Light" w:eastAsia="Times New Roman" w:hAnsi="Calibri-Light" w:cs="Times New Roman"/>
            <w:color w:val="000000"/>
            <w:sz w:val="24"/>
            <w:szCs w:val="24"/>
          </w:rPr>
          <w:t>Comparative evaluation of the humoral immune interaction when BCG and conjugated meningococcal vaccines combined or co-administrated in mice</w:t>
        </w:r>
      </w:hyperlink>
      <w:r>
        <w:rPr>
          <w:rFonts w:ascii="Calibri-Light" w:eastAsia="Times New Roman" w:hAnsi="Calibri-Light" w:cs="Times New Roman"/>
          <w:color w:val="000000"/>
          <w:sz w:val="24"/>
          <w:szCs w:val="24"/>
        </w:rPr>
        <w:t xml:space="preserve"> </w:t>
      </w:r>
      <w:r w:rsidRPr="00CC57DB">
        <w:rPr>
          <w:rFonts w:ascii="Calibri-Light" w:eastAsia="Times New Roman" w:hAnsi="Calibri-Light" w:cs="Times New Roman"/>
          <w:color w:val="000000"/>
          <w:sz w:val="24"/>
          <w:szCs w:val="24"/>
        </w:rPr>
        <w:t>- Comparative Immunology, Microbiology and Infectious …, 2022</w:t>
      </w:r>
      <w:r w:rsidRPr="00CC57DB">
        <w:t xml:space="preserve"> </w:t>
      </w:r>
      <w:hyperlink r:id="rId6" w:history="1">
        <w:r w:rsidRPr="004570CF">
          <w:rPr>
            <w:rStyle w:val="Hyperlink"/>
            <w:rFonts w:ascii="Calibri-Light" w:eastAsia="Times New Roman" w:hAnsi="Calibri-Light"/>
            <w:sz w:val="24"/>
            <w:szCs w:val="24"/>
          </w:rPr>
          <w:t>https://doi.org/10.1016/j.cimid.2022.101778</w:t>
        </w:r>
      </w:hyperlink>
      <w:r w:rsidRPr="00CC57DB">
        <w:rPr>
          <w:rFonts w:ascii="Calibri-Light" w:eastAsia="Times New Roman" w:hAnsi="Calibri-Light" w:cs="Times New Roman"/>
          <w:color w:val="000000"/>
          <w:sz w:val="24"/>
          <w:szCs w:val="24"/>
        </w:rPr>
        <w:t>.</w:t>
      </w:r>
      <w:r>
        <w:rPr>
          <w:rFonts w:ascii="Calibri-Light" w:eastAsia="Times New Roman" w:hAnsi="Calibri-Light" w:cs="Times New Roman"/>
          <w:color w:val="000000"/>
          <w:sz w:val="24"/>
          <w:szCs w:val="24"/>
        </w:rPr>
        <w:t xml:space="preserve"> </w:t>
      </w:r>
    </w:p>
    <w:p w14:paraId="07D3B3E6" w14:textId="4FAF3AED" w:rsidR="004A7913" w:rsidRDefault="004A7913" w:rsidP="00CC57DB">
      <w:pPr>
        <w:pStyle w:val="OmniPage4"/>
        <w:numPr>
          <w:ilvl w:val="0"/>
          <w:numId w:val="2"/>
        </w:numPr>
        <w:ind w:left="810" w:right="45"/>
        <w:jc w:val="left"/>
        <w:rPr>
          <w:rFonts w:ascii="Calibri-Light" w:hAnsi="Calibri-Light"/>
          <w:noProof w:val="0"/>
          <w:color w:val="000000"/>
          <w:sz w:val="24"/>
          <w:szCs w:val="24"/>
        </w:rPr>
      </w:pPr>
      <w:r w:rsidRPr="00CC57DB">
        <w:rPr>
          <w:rFonts w:ascii="Calibri-Light" w:hAnsi="Calibri-Light"/>
          <w:noProof w:val="0"/>
          <w:color w:val="000000"/>
          <w:sz w:val="24"/>
          <w:szCs w:val="24"/>
        </w:rPr>
        <w:t>“Chitosan and Sodium Alginate Combinations Are Alternative, Efficient, and Safe Natural Adjuvant Systems for Hepatitis B Vaccine in Mouse Model", Evidence-Based Complementary and Alternative Medicine, Volume 2016 (2016), Article ID 7659684, 8 pages</w:t>
      </w:r>
      <w:r w:rsidR="00CC57DB">
        <w:rPr>
          <w:rFonts w:ascii="Calibri-Light" w:hAnsi="Calibri-Light"/>
          <w:noProof w:val="0"/>
          <w:color w:val="000000"/>
          <w:sz w:val="24"/>
          <w:szCs w:val="24"/>
        </w:rPr>
        <w:t xml:space="preserve">. </w:t>
      </w:r>
      <w:hyperlink r:id="rId7" w:history="1">
        <w:r w:rsidRPr="00CC57DB">
          <w:rPr>
            <w:rFonts w:ascii="Calibri-Light" w:hAnsi="Calibri-Light"/>
            <w:color w:val="000000"/>
            <w:sz w:val="24"/>
            <w:szCs w:val="24"/>
          </w:rPr>
          <w:t>http://dx.doi.org/10.1155/2016/7659684</w:t>
        </w:r>
      </w:hyperlink>
      <w:r w:rsidR="00CC57DB">
        <w:rPr>
          <w:rFonts w:ascii="Calibri-Light" w:hAnsi="Calibri-Light"/>
          <w:color w:val="000000"/>
          <w:sz w:val="24"/>
          <w:szCs w:val="24"/>
        </w:rPr>
        <w:t>.</w:t>
      </w:r>
    </w:p>
    <w:p w14:paraId="5FA935A0" w14:textId="77777777" w:rsidR="004A7913" w:rsidRPr="00CC57DB" w:rsidRDefault="004A7913" w:rsidP="00F80A05">
      <w:pPr>
        <w:pStyle w:val="OmniPage4"/>
        <w:tabs>
          <w:tab w:val="clear" w:pos="2314"/>
        </w:tabs>
        <w:ind w:left="360" w:right="45"/>
        <w:jc w:val="left"/>
        <w:rPr>
          <w:rFonts w:ascii="Calibri-Light" w:hAnsi="Calibri-Light"/>
          <w:noProof w:val="0"/>
          <w:color w:val="000000"/>
          <w:sz w:val="24"/>
          <w:szCs w:val="24"/>
        </w:rPr>
      </w:pPr>
    </w:p>
    <w:p w14:paraId="797B285E" w14:textId="77777777" w:rsidR="004A7913" w:rsidRPr="00CC57DB" w:rsidRDefault="004A7913" w:rsidP="00CC57DB">
      <w:pPr>
        <w:pStyle w:val="OmniPage4"/>
        <w:numPr>
          <w:ilvl w:val="0"/>
          <w:numId w:val="2"/>
        </w:numPr>
        <w:tabs>
          <w:tab w:val="clear" w:pos="2314"/>
        </w:tabs>
        <w:ind w:right="45"/>
        <w:jc w:val="left"/>
        <w:rPr>
          <w:rFonts w:ascii="Calibri-Light" w:hAnsi="Calibri-Light"/>
          <w:color w:val="000000"/>
          <w:sz w:val="24"/>
          <w:szCs w:val="24"/>
        </w:rPr>
      </w:pPr>
      <w:r w:rsidRPr="00CC57DB">
        <w:rPr>
          <w:rFonts w:ascii="Calibri-Light" w:hAnsi="Calibri-Light"/>
          <w:color w:val="000000"/>
          <w:sz w:val="24"/>
          <w:szCs w:val="24"/>
        </w:rPr>
        <w:t>“IMMUNOLOGICAL TESTS COMPARISON FOR THE DETECTION OF</w:t>
      </w:r>
    </w:p>
    <w:p w14:paraId="04C897E9" w14:textId="77777777" w:rsidR="004A7913" w:rsidRPr="00CC57DB" w:rsidRDefault="004A7913" w:rsidP="00CC57DB">
      <w:pPr>
        <w:pStyle w:val="OmniPage4"/>
        <w:tabs>
          <w:tab w:val="clear" w:pos="2314"/>
        </w:tabs>
        <w:ind w:left="360" w:right="45"/>
        <w:jc w:val="left"/>
        <w:rPr>
          <w:rFonts w:ascii="Calibri-Light" w:hAnsi="Calibri-Light"/>
          <w:color w:val="000000"/>
          <w:sz w:val="24"/>
          <w:szCs w:val="24"/>
        </w:rPr>
      </w:pPr>
      <w:r w:rsidRPr="00CC57DB">
        <w:rPr>
          <w:rFonts w:ascii="Calibri-Light" w:hAnsi="Calibri-Light"/>
          <w:color w:val="000000"/>
          <w:sz w:val="24"/>
          <w:szCs w:val="24"/>
        </w:rPr>
        <w:t>HELICOBACTER PYLORI INFECTION IN ADULT EGYPTIAN PATIENTS"</w:t>
      </w:r>
    </w:p>
    <w:p w14:paraId="1E787F91" w14:textId="1BE88013" w:rsidR="004A7913" w:rsidRPr="00CC57DB" w:rsidRDefault="004A7913" w:rsidP="00CC57DB">
      <w:pPr>
        <w:pStyle w:val="OmniPage4"/>
        <w:tabs>
          <w:tab w:val="clear" w:pos="2314"/>
        </w:tabs>
        <w:ind w:left="360" w:right="45"/>
        <w:jc w:val="left"/>
        <w:rPr>
          <w:rFonts w:ascii="Calibri-Light" w:hAnsi="Calibri-Light"/>
          <w:color w:val="000000"/>
          <w:sz w:val="24"/>
          <w:szCs w:val="24"/>
        </w:rPr>
      </w:pPr>
      <w:r w:rsidRPr="00CC57DB">
        <w:rPr>
          <w:rFonts w:ascii="Calibri-Light" w:hAnsi="Calibri-Light"/>
          <w:color w:val="000000"/>
          <w:sz w:val="24"/>
          <w:szCs w:val="24"/>
        </w:rPr>
        <w:t>Indian Journal of Medical Research and Pharmaceutical Sciences, Vol. 2 Iss. 12 (December -2015), page : 42-48</w:t>
      </w:r>
    </w:p>
    <w:p w14:paraId="41860748" w14:textId="4DD23FB4" w:rsidR="00F80A05" w:rsidRPr="00CC57DB" w:rsidRDefault="00F80A05" w:rsidP="00CC57DB">
      <w:pPr>
        <w:pStyle w:val="OmniPage4"/>
        <w:tabs>
          <w:tab w:val="clear" w:pos="2314"/>
        </w:tabs>
        <w:ind w:left="360" w:right="45"/>
        <w:jc w:val="left"/>
        <w:rPr>
          <w:rFonts w:ascii="Calibri-Light" w:hAnsi="Calibri-Light"/>
          <w:color w:val="000000"/>
          <w:sz w:val="24"/>
          <w:szCs w:val="24"/>
        </w:rPr>
      </w:pPr>
    </w:p>
    <w:p w14:paraId="15E2C179" w14:textId="77777777" w:rsidR="00F80A05" w:rsidRPr="0085412B" w:rsidRDefault="00F80A05" w:rsidP="004A7913">
      <w:pPr>
        <w:pStyle w:val="OmniPage4"/>
        <w:ind w:left="360" w:right="45"/>
        <w:jc w:val="both"/>
        <w:rPr>
          <w:rFonts w:ascii="Tahoma" w:hAnsi="Tahoma" w:cs="Tahoma"/>
          <w:noProof w:val="0"/>
        </w:rPr>
      </w:pPr>
    </w:p>
    <w:p w14:paraId="0FC2A0D1" w14:textId="77777777" w:rsidR="00E34AD7" w:rsidRDefault="00E34AD7">
      <w:pPr>
        <w:rPr>
          <w:lang w:bidi="ar-EG"/>
        </w:rPr>
      </w:pPr>
    </w:p>
    <w:sectPr w:rsidR="00E34AD7" w:rsidSect="00472B15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-Light">
    <w:altName w:val="Calibri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070AEB"/>
    <w:multiLevelType w:val="hybridMultilevel"/>
    <w:tmpl w:val="C2FE39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020F95"/>
    <w:multiLevelType w:val="hybridMultilevel"/>
    <w:tmpl w:val="FE827B38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A7913"/>
    <w:rsid w:val="00472B15"/>
    <w:rsid w:val="004A7913"/>
    <w:rsid w:val="00CC57DB"/>
    <w:rsid w:val="00E34AD7"/>
    <w:rsid w:val="00F80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57C2A4"/>
  <w15:docId w15:val="{B7099178-41ED-46BC-9766-6AB0142D5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4AD7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OmniPage4">
    <w:name w:val="OmniPage #4"/>
    <w:basedOn w:val="Normal"/>
    <w:rsid w:val="004A7913"/>
    <w:pPr>
      <w:tabs>
        <w:tab w:val="left" w:pos="2314"/>
        <w:tab w:val="right" w:pos="8531"/>
      </w:tabs>
      <w:overflowPunct w:val="0"/>
      <w:autoSpaceDE w:val="0"/>
      <w:autoSpaceDN w:val="0"/>
      <w:bidi w:val="0"/>
      <w:adjustRightInd w:val="0"/>
      <w:spacing w:after="0" w:line="240" w:lineRule="auto"/>
      <w:ind w:left="1800" w:right="1406"/>
      <w:jc w:val="right"/>
      <w:textAlignment w:val="baseline"/>
    </w:pPr>
    <w:rPr>
      <w:rFonts w:ascii="Arial" w:eastAsia="Times New Roman" w:hAnsi="Arial" w:cs="Times New Roman"/>
      <w:noProof/>
      <w:sz w:val="20"/>
      <w:szCs w:val="20"/>
    </w:rPr>
  </w:style>
  <w:style w:type="character" w:styleId="Hyperlink">
    <w:name w:val="Hyperlink"/>
    <w:rsid w:val="004A7913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80A05"/>
    <w:pPr>
      <w:ind w:left="720"/>
      <w:contextualSpacing/>
    </w:pPr>
  </w:style>
  <w:style w:type="character" w:customStyle="1" w:styleId="fontstyle01">
    <w:name w:val="fontstyle01"/>
    <w:basedOn w:val="DefaultParagraphFont"/>
    <w:rsid w:val="00F80A05"/>
    <w:rPr>
      <w:rFonts w:ascii="Calibri-Light" w:hAnsi="Calibri-Light" w:hint="default"/>
      <w:b w:val="0"/>
      <w:bCs w:val="0"/>
      <w:i w:val="0"/>
      <w:iCs w:val="0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CC57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42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3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10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74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dx.doi.org/10.1155/2016/765968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1016/j.cimid.2022.101778" TargetMode="External"/><Relationship Id="rId5" Type="http://schemas.openxmlformats.org/officeDocument/2006/relationships/hyperlink" Target="https://scholar.google.com/scholar?oi=bibs&amp;cluster=18007699900370934634&amp;btnI=1&amp;hl=en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210</Words>
  <Characters>1197</Characters>
  <Application>Microsoft Office Word</Application>
  <DocSecurity>0</DocSecurity>
  <Lines>9</Lines>
  <Paragraphs>2</Paragraphs>
  <ScaleCrop>false</ScaleCrop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mohamed</dc:creator>
  <cp:lastModifiedBy>Nourhan Hassan</cp:lastModifiedBy>
  <cp:revision>3</cp:revision>
  <dcterms:created xsi:type="dcterms:W3CDTF">2017-02-24T23:08:00Z</dcterms:created>
  <dcterms:modified xsi:type="dcterms:W3CDTF">2022-03-20T21:07:00Z</dcterms:modified>
</cp:coreProperties>
</file>