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C84C7" w14:textId="16CE3FE2" w:rsidR="00D36A4B" w:rsidRPr="00C55887" w:rsidRDefault="00813972" w:rsidP="003C2317">
      <w:pPr>
        <w:spacing w:line="360" w:lineRule="auto"/>
        <w:jc w:val="both"/>
        <w:rPr>
          <w:rFonts w:ascii="Arial" w:hAnsi="Arial" w:cs="Arial"/>
          <w:b/>
          <w:i/>
          <w:sz w:val="20"/>
        </w:rPr>
      </w:pPr>
      <w:r>
        <w:rPr>
          <w:rFonts w:ascii="Calibri" w:hAnsi="Calibri"/>
          <w:b/>
          <w:sz w:val="28"/>
          <w:szCs w:val="28"/>
        </w:rPr>
        <w:t>Publications</w:t>
      </w:r>
    </w:p>
    <w:p w14:paraId="6FDEA17A" w14:textId="77777777" w:rsidR="00D36A4B" w:rsidRPr="00C55887" w:rsidRDefault="00D36A4B" w:rsidP="003C2317">
      <w:pPr>
        <w:jc w:val="both"/>
        <w:rPr>
          <w:rFonts w:ascii="Calibri" w:hAnsi="Calibri" w:cs="Arial"/>
          <w:sz w:val="20"/>
          <w:szCs w:val="20"/>
        </w:rPr>
      </w:pPr>
      <w:r w:rsidRPr="00C55887">
        <w:rPr>
          <w:rFonts w:ascii="Calibri" w:hAnsi="Calibri" w:cs="Arial"/>
          <w:sz w:val="20"/>
          <w:szCs w:val="20"/>
        </w:rPr>
        <w:t xml:space="preserve">1 - Boiziau, C., Eric, D., R., M., </w:t>
      </w:r>
      <w:r w:rsidRPr="00C55887">
        <w:rPr>
          <w:rFonts w:ascii="Calibri" w:hAnsi="Calibri" w:cs="Arial"/>
          <w:sz w:val="20"/>
          <w:szCs w:val="20"/>
          <w:u w:val="single"/>
        </w:rPr>
        <w:t>Ducongé, F</w:t>
      </w:r>
      <w:r w:rsidRPr="00C55887">
        <w:rPr>
          <w:rFonts w:ascii="Calibri" w:hAnsi="Calibri" w:cs="Arial"/>
          <w:sz w:val="20"/>
          <w:szCs w:val="20"/>
        </w:rPr>
        <w:t xml:space="preserve">., et Toulme, J. J. (1997). </w:t>
      </w:r>
      <w:r w:rsidRPr="00C55887">
        <w:rPr>
          <w:rFonts w:ascii="Calibri" w:hAnsi="Calibri" w:cs="Arial"/>
          <w:i/>
          <w:sz w:val="20"/>
          <w:szCs w:val="20"/>
          <w:lang w:val="en-GB"/>
        </w:rPr>
        <w:t>Identification of aptamers against the DNA template for in vitro transcription of the HIV-1 TAR element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. </w:t>
      </w:r>
      <w:r w:rsidRPr="00C55887">
        <w:rPr>
          <w:rFonts w:ascii="Calibri" w:hAnsi="Calibri" w:cs="Arial"/>
          <w:b/>
          <w:sz w:val="20"/>
          <w:szCs w:val="20"/>
        </w:rPr>
        <w:t>Antisense Nucleic Acid Drug Dev</w:t>
      </w:r>
      <w:r w:rsidRPr="00C55887">
        <w:rPr>
          <w:rFonts w:ascii="Calibri" w:hAnsi="Calibri" w:cs="Arial"/>
          <w:sz w:val="20"/>
          <w:szCs w:val="20"/>
        </w:rPr>
        <w:t xml:space="preserve"> 7, 369-380.</w:t>
      </w:r>
    </w:p>
    <w:p w14:paraId="4AE5C7B2" w14:textId="77777777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</w:rPr>
      </w:pPr>
    </w:p>
    <w:p w14:paraId="6C2AD399" w14:textId="77777777" w:rsidR="00D36A4B" w:rsidRPr="00D36A4B" w:rsidRDefault="00D36A4B" w:rsidP="00D36A4B">
      <w:pPr>
        <w:jc w:val="both"/>
        <w:rPr>
          <w:rFonts w:ascii="Calibri" w:hAnsi="Calibri" w:cs="Arial"/>
          <w:sz w:val="20"/>
          <w:szCs w:val="20"/>
        </w:rPr>
      </w:pPr>
      <w:r w:rsidRPr="00C55887">
        <w:rPr>
          <w:rFonts w:ascii="Calibri" w:hAnsi="Calibri" w:cs="Arial"/>
          <w:sz w:val="20"/>
          <w:szCs w:val="20"/>
        </w:rPr>
        <w:t>2 -</w:t>
      </w:r>
      <w:r w:rsidRPr="00C55887">
        <w:rPr>
          <w:rFonts w:ascii="Calibri" w:hAnsi="Calibri" w:cs="Arial"/>
          <w:sz w:val="20"/>
          <w:szCs w:val="20"/>
          <w:u w:val="single"/>
        </w:rPr>
        <w:t xml:space="preserve"> Ducongé, F</w:t>
      </w:r>
      <w:r w:rsidRPr="00C55887">
        <w:rPr>
          <w:rFonts w:ascii="Calibri" w:hAnsi="Calibri" w:cs="Arial"/>
          <w:sz w:val="20"/>
          <w:szCs w:val="20"/>
        </w:rPr>
        <w:t xml:space="preserve">., et Toulme, J. J. (1999). </w:t>
      </w:r>
      <w:r w:rsidRPr="00C55887">
        <w:rPr>
          <w:rFonts w:ascii="Calibri" w:hAnsi="Calibri" w:cs="Arial"/>
          <w:i/>
          <w:sz w:val="20"/>
          <w:szCs w:val="20"/>
          <w:lang w:val="en-GB"/>
        </w:rPr>
        <w:t>In vitro selection identifies key determinants for loop-loop interactions: RNA aptamers selective for the TAR RNA element of HIV-1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. </w:t>
      </w:r>
      <w:r w:rsidRPr="00D36A4B">
        <w:rPr>
          <w:rFonts w:ascii="Calibri" w:hAnsi="Calibri" w:cs="Arial"/>
          <w:b/>
          <w:sz w:val="20"/>
          <w:szCs w:val="20"/>
        </w:rPr>
        <w:t>RNA</w:t>
      </w:r>
      <w:r w:rsidRPr="00D36A4B">
        <w:rPr>
          <w:rFonts w:ascii="Calibri" w:hAnsi="Calibri" w:cs="Arial"/>
          <w:sz w:val="20"/>
          <w:szCs w:val="20"/>
        </w:rPr>
        <w:t xml:space="preserve"> 5, 1605-1614.</w:t>
      </w:r>
    </w:p>
    <w:p w14:paraId="42048FEA" w14:textId="77777777" w:rsidR="00D36A4B" w:rsidRPr="00D36A4B" w:rsidRDefault="00D36A4B" w:rsidP="00D36A4B">
      <w:pPr>
        <w:jc w:val="both"/>
        <w:rPr>
          <w:rFonts w:ascii="Calibri" w:hAnsi="Calibri" w:cs="Arial"/>
          <w:sz w:val="20"/>
          <w:szCs w:val="20"/>
        </w:rPr>
      </w:pPr>
    </w:p>
    <w:p w14:paraId="4411DD3F" w14:textId="77777777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</w:rPr>
      </w:pPr>
      <w:r w:rsidRPr="00D36A4B">
        <w:rPr>
          <w:rFonts w:ascii="Calibri" w:hAnsi="Calibri" w:cs="Arial"/>
          <w:sz w:val="20"/>
          <w:szCs w:val="20"/>
        </w:rPr>
        <w:t>3 -</w:t>
      </w:r>
      <w:r w:rsidRPr="00D36A4B">
        <w:rPr>
          <w:rFonts w:ascii="Calibri" w:hAnsi="Calibri" w:cs="Arial"/>
          <w:sz w:val="20"/>
          <w:szCs w:val="20"/>
          <w:u w:val="single"/>
        </w:rPr>
        <w:t xml:space="preserve"> Ducongé, F</w:t>
      </w:r>
      <w:r w:rsidRPr="00D36A4B">
        <w:rPr>
          <w:rFonts w:ascii="Calibri" w:hAnsi="Calibri" w:cs="Arial"/>
          <w:sz w:val="20"/>
          <w:szCs w:val="20"/>
        </w:rPr>
        <w:t xml:space="preserve">., Di Primo, C., et Toulme, J. J. (2000). </w:t>
      </w:r>
      <w:r w:rsidRPr="00C55887">
        <w:rPr>
          <w:rFonts w:ascii="Calibri" w:hAnsi="Calibri" w:cs="Arial"/>
          <w:i/>
          <w:sz w:val="20"/>
          <w:szCs w:val="20"/>
          <w:lang w:val="en-GB"/>
        </w:rPr>
        <w:t>Is a closing "GA pair" a rule for stable loop-loop RNA complexes?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 </w:t>
      </w:r>
      <w:r w:rsidRPr="00C55887">
        <w:rPr>
          <w:rFonts w:ascii="Calibri" w:hAnsi="Calibri" w:cs="Arial"/>
          <w:b/>
          <w:sz w:val="20"/>
          <w:szCs w:val="20"/>
        </w:rPr>
        <w:t>Journal of Biological Chemistry</w:t>
      </w:r>
      <w:r w:rsidRPr="00C55887">
        <w:rPr>
          <w:rFonts w:ascii="Calibri" w:hAnsi="Calibri" w:cs="Arial"/>
          <w:sz w:val="20"/>
          <w:szCs w:val="20"/>
        </w:rPr>
        <w:t xml:space="preserve"> 275, 21287-21294.</w:t>
      </w:r>
    </w:p>
    <w:p w14:paraId="7C61A089" w14:textId="77777777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</w:rPr>
      </w:pPr>
    </w:p>
    <w:p w14:paraId="4858A221" w14:textId="77777777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  <w:lang w:val="en-GB"/>
        </w:rPr>
      </w:pPr>
      <w:r w:rsidRPr="00C55887">
        <w:rPr>
          <w:rFonts w:ascii="Calibri" w:hAnsi="Calibri" w:cs="Arial"/>
          <w:sz w:val="20"/>
          <w:szCs w:val="20"/>
        </w:rPr>
        <w:t xml:space="preserve">4 - Darfeuille, F., Cazenave, C., Gryaznov, S., </w:t>
      </w:r>
      <w:r w:rsidRPr="00C55887">
        <w:rPr>
          <w:rFonts w:ascii="Calibri" w:hAnsi="Calibri" w:cs="Arial"/>
          <w:sz w:val="20"/>
          <w:szCs w:val="20"/>
          <w:u w:val="single"/>
        </w:rPr>
        <w:t>Ducongé, F</w:t>
      </w:r>
      <w:r w:rsidRPr="00C55887">
        <w:rPr>
          <w:rFonts w:ascii="Calibri" w:hAnsi="Calibri" w:cs="Arial"/>
          <w:sz w:val="20"/>
          <w:szCs w:val="20"/>
        </w:rPr>
        <w:t xml:space="preserve">., Di Primo, C., et Toulme, J. J. (2001). </w:t>
      </w:r>
      <w:r w:rsidRPr="00C55887">
        <w:rPr>
          <w:rFonts w:ascii="Calibri" w:hAnsi="Calibri" w:cs="Arial"/>
          <w:i/>
          <w:sz w:val="20"/>
          <w:szCs w:val="20"/>
          <w:lang w:val="en-GB"/>
        </w:rPr>
        <w:t>RNA and N3'--&gt;P5' kissing aptamers targeted to the trans-activation responsive (TAR) RNA of the human immunodeficiency virus-1.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 </w:t>
      </w:r>
      <w:r w:rsidRPr="00C55887">
        <w:rPr>
          <w:rFonts w:ascii="Calibri" w:hAnsi="Calibri" w:cs="Arial"/>
          <w:b/>
          <w:sz w:val="20"/>
          <w:szCs w:val="20"/>
          <w:lang w:val="en-GB"/>
        </w:rPr>
        <w:t>Nucleosides Nucleotides Nucleic Acids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 20, 441-449.</w:t>
      </w:r>
    </w:p>
    <w:p w14:paraId="0B50974B" w14:textId="77777777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  <w:lang w:val="en-GB"/>
        </w:rPr>
      </w:pPr>
    </w:p>
    <w:p w14:paraId="2DC8E0C7" w14:textId="77777777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  <w:lang w:val="en-GB"/>
        </w:rPr>
      </w:pPr>
      <w:r w:rsidRPr="00C55887">
        <w:rPr>
          <w:rFonts w:ascii="Calibri" w:hAnsi="Calibri" w:cs="Arial"/>
          <w:sz w:val="20"/>
          <w:szCs w:val="20"/>
          <w:lang w:val="en-GB"/>
        </w:rPr>
        <w:t xml:space="preserve">5 - Libri, D., </w:t>
      </w:r>
      <w:r w:rsidRPr="00C55887">
        <w:rPr>
          <w:rFonts w:ascii="Calibri" w:hAnsi="Calibri" w:cs="Arial"/>
          <w:sz w:val="20"/>
          <w:szCs w:val="20"/>
          <w:u w:val="single"/>
          <w:lang w:val="en-GB"/>
        </w:rPr>
        <w:t>Ducongé, F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., Levy, L., et Vinauger, M. (2002). </w:t>
      </w:r>
      <w:r w:rsidRPr="00C55887">
        <w:rPr>
          <w:rFonts w:ascii="Calibri" w:hAnsi="Calibri" w:cs="Arial"/>
          <w:i/>
          <w:sz w:val="20"/>
          <w:szCs w:val="20"/>
          <w:lang w:val="en-GB"/>
        </w:rPr>
        <w:t>A role for the Psi-U mismatch in the recognition of the 5' splice site of yeast introns by the U1 small nuclear ribonucleoprotein particle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. </w:t>
      </w:r>
      <w:r w:rsidRPr="00C55887">
        <w:rPr>
          <w:rFonts w:ascii="Calibri" w:hAnsi="Calibri" w:cs="Arial"/>
          <w:b/>
          <w:sz w:val="20"/>
          <w:szCs w:val="20"/>
          <w:lang w:val="en-GB"/>
        </w:rPr>
        <w:t>Journal of Biological Chemistry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 277, 18173-18181.</w:t>
      </w:r>
    </w:p>
    <w:p w14:paraId="0E64058B" w14:textId="77777777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  <w:lang w:val="en-GB"/>
        </w:rPr>
      </w:pPr>
    </w:p>
    <w:p w14:paraId="2E355168" w14:textId="77777777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  <w:lang w:val="en-GB"/>
        </w:rPr>
      </w:pPr>
      <w:r w:rsidRPr="00C55887">
        <w:rPr>
          <w:rFonts w:ascii="Calibri" w:hAnsi="Calibri" w:cs="Arial"/>
          <w:sz w:val="20"/>
          <w:szCs w:val="20"/>
          <w:lang w:val="en-GB"/>
        </w:rPr>
        <w:t xml:space="preserve">6 - Cerchia L., Amabile G., D’Alessio A., </w:t>
      </w:r>
      <w:r w:rsidRPr="00C55887">
        <w:rPr>
          <w:rFonts w:ascii="Calibri" w:hAnsi="Calibri" w:cs="Arial"/>
          <w:sz w:val="20"/>
          <w:szCs w:val="20"/>
          <w:u w:val="single"/>
          <w:lang w:val="en-GB"/>
        </w:rPr>
        <w:t>Ducongé F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., Incoronato M., Pestourie C., Tavitian B., Libri D., de Franciscis V. (2006) </w:t>
      </w:r>
      <w:r w:rsidRPr="00C55887">
        <w:rPr>
          <w:rFonts w:ascii="Calibri" w:hAnsi="Calibri" w:cs="Arial"/>
          <w:i/>
          <w:sz w:val="20"/>
          <w:szCs w:val="20"/>
          <w:lang w:val="en-GB"/>
        </w:rPr>
        <w:t>An autocrine loop involving Ret and GDNF participates in retinoic acid-induced differentiation of human neuroblastoma cells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. </w:t>
      </w:r>
      <w:r w:rsidRPr="00C55887">
        <w:rPr>
          <w:rFonts w:ascii="Calibri" w:hAnsi="Calibri" w:cs="Arial"/>
          <w:b/>
          <w:sz w:val="20"/>
          <w:szCs w:val="20"/>
          <w:lang w:val="en-GB"/>
        </w:rPr>
        <w:t>Mol Cancer Res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 4, 481-488.</w:t>
      </w:r>
    </w:p>
    <w:p w14:paraId="4E80C731" w14:textId="77777777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  <w:lang w:val="en-GB"/>
        </w:rPr>
      </w:pPr>
    </w:p>
    <w:p w14:paraId="3D66766C" w14:textId="77777777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</w:rPr>
      </w:pPr>
      <w:r w:rsidRPr="00C55887">
        <w:rPr>
          <w:rFonts w:ascii="Calibri" w:hAnsi="Calibri" w:cs="Arial"/>
          <w:sz w:val="20"/>
          <w:szCs w:val="20"/>
          <w:lang w:val="en-GB"/>
        </w:rPr>
        <w:t xml:space="preserve">7 - Josserand V, Pélerin H., de Bruin B., Jego B., Kuhnast B., Hinnen F., </w:t>
      </w:r>
      <w:r w:rsidRPr="00C55887">
        <w:rPr>
          <w:rFonts w:ascii="Calibri" w:hAnsi="Calibri" w:cs="Arial"/>
          <w:sz w:val="20"/>
          <w:szCs w:val="20"/>
          <w:u w:val="single"/>
          <w:lang w:val="en-GB"/>
        </w:rPr>
        <w:t>Ducongé F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., Beuvon F., Chassoux F., Daumas-Duport C., Ezan E., Dollé F., Mabondzo A. and Tavitian B. (2005) </w:t>
      </w:r>
      <w:r w:rsidRPr="00C55887">
        <w:rPr>
          <w:rFonts w:ascii="Calibri" w:hAnsi="Calibri" w:cs="Arial"/>
          <w:i/>
          <w:sz w:val="20"/>
          <w:szCs w:val="20"/>
          <w:lang w:val="en-GB"/>
        </w:rPr>
        <w:t>Evaluation of drug penetration into the brain: a double study by in vivo imaging with positron emission tomography and using an in vitro model of the human blood-brain barrier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. </w:t>
      </w:r>
      <w:r w:rsidRPr="00C55887">
        <w:rPr>
          <w:rFonts w:ascii="Calibri" w:hAnsi="Calibri" w:cs="Arial"/>
          <w:b/>
          <w:sz w:val="20"/>
          <w:szCs w:val="20"/>
        </w:rPr>
        <w:t>J Pharmacol Exp Ther</w:t>
      </w:r>
      <w:r w:rsidRPr="00C55887">
        <w:rPr>
          <w:rFonts w:ascii="Calibri" w:hAnsi="Calibri" w:cs="Arial"/>
          <w:sz w:val="20"/>
          <w:szCs w:val="20"/>
        </w:rPr>
        <w:t xml:space="preserve"> 316(1):79-86.</w:t>
      </w:r>
    </w:p>
    <w:p w14:paraId="1ED9DBFD" w14:textId="77777777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</w:rPr>
      </w:pPr>
    </w:p>
    <w:p w14:paraId="26D928B7" w14:textId="15A45AC4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  <w:lang w:val="en-GB"/>
        </w:rPr>
      </w:pPr>
      <w:r w:rsidRPr="00C55887">
        <w:rPr>
          <w:rFonts w:ascii="Calibri" w:hAnsi="Calibri" w:cs="Arial"/>
          <w:sz w:val="20"/>
          <w:szCs w:val="20"/>
        </w:rPr>
        <w:t xml:space="preserve">8 - Cerchia, L.*, </w:t>
      </w:r>
      <w:r w:rsidRPr="00C55887">
        <w:rPr>
          <w:rFonts w:ascii="Calibri" w:hAnsi="Calibri" w:cs="Arial"/>
          <w:sz w:val="20"/>
          <w:szCs w:val="20"/>
          <w:u w:val="single"/>
        </w:rPr>
        <w:t>Ducongé, F</w:t>
      </w:r>
      <w:r w:rsidRPr="00C55887">
        <w:rPr>
          <w:rFonts w:ascii="Calibri" w:hAnsi="Calibri" w:cs="Arial"/>
          <w:sz w:val="20"/>
          <w:szCs w:val="20"/>
        </w:rPr>
        <w:t xml:space="preserve">*., Pestourie, C., Boulay, J., Aissouni, Y., Gombert, K., Tavitian, B., Franciscis, V. D., et Libri, D. (2005). </w:t>
      </w:r>
      <w:r w:rsidRPr="00C55887">
        <w:rPr>
          <w:rFonts w:ascii="Calibri" w:hAnsi="Calibri" w:cs="Arial"/>
          <w:i/>
          <w:sz w:val="20"/>
          <w:szCs w:val="20"/>
          <w:lang w:val="en-GB"/>
        </w:rPr>
        <w:t>Neutralizing Aptamers from Whole-Cell SELEX Inhibit the RET Receptor Tyrosine Kinase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. </w:t>
      </w:r>
      <w:r w:rsidRPr="00C55887">
        <w:rPr>
          <w:rFonts w:ascii="Calibri" w:hAnsi="Calibri" w:cs="Arial"/>
          <w:b/>
          <w:sz w:val="20"/>
          <w:szCs w:val="20"/>
          <w:lang w:val="en-GB"/>
        </w:rPr>
        <w:t>PLoS Biology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 3, e123.</w:t>
      </w:r>
    </w:p>
    <w:p w14:paraId="73FBC9F9" w14:textId="77777777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  <w:lang w:val="en-GB"/>
        </w:rPr>
      </w:pPr>
    </w:p>
    <w:p w14:paraId="1D8038F7" w14:textId="77777777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  <w:lang w:val="en-GB"/>
        </w:rPr>
      </w:pPr>
      <w:r w:rsidRPr="00C55887">
        <w:rPr>
          <w:rFonts w:ascii="Calibri" w:hAnsi="Calibri" w:cs="Arial"/>
          <w:sz w:val="20"/>
          <w:szCs w:val="20"/>
        </w:rPr>
        <w:t xml:space="preserve">9 - Pestourie C, Cerchia L, Gombert K, Boulay J, de Franciscis V, Libri D, Tavitian B, and </w:t>
      </w:r>
      <w:r w:rsidRPr="00C55887">
        <w:rPr>
          <w:rFonts w:ascii="Calibri" w:hAnsi="Calibri" w:cs="Arial"/>
          <w:sz w:val="20"/>
          <w:szCs w:val="20"/>
          <w:u w:val="single"/>
        </w:rPr>
        <w:t>Ducongé F.</w:t>
      </w:r>
      <w:r w:rsidRPr="00C55887">
        <w:rPr>
          <w:rFonts w:ascii="Calibri" w:hAnsi="Calibri" w:cs="Arial"/>
          <w:sz w:val="20"/>
          <w:szCs w:val="20"/>
        </w:rPr>
        <w:t xml:space="preserve"> (2006). </w:t>
      </w:r>
      <w:r w:rsidRPr="00C55887">
        <w:rPr>
          <w:rFonts w:ascii="Calibri" w:hAnsi="Calibri" w:cs="Arial"/>
          <w:i/>
          <w:sz w:val="20"/>
          <w:szCs w:val="20"/>
          <w:lang w:val="en-GB"/>
        </w:rPr>
        <w:t>Comparison of different strategies to select aptamers against a transmembrane protein target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. </w:t>
      </w:r>
      <w:r w:rsidRPr="00C55887">
        <w:rPr>
          <w:rFonts w:ascii="Calibri" w:hAnsi="Calibri" w:cs="Arial"/>
          <w:b/>
          <w:sz w:val="20"/>
          <w:szCs w:val="20"/>
          <w:lang w:val="en-GB"/>
        </w:rPr>
        <w:t>Oligonucléotides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 16(4):323-35. </w:t>
      </w:r>
    </w:p>
    <w:p w14:paraId="5B161799" w14:textId="77777777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  <w:lang w:val="en-GB"/>
        </w:rPr>
      </w:pPr>
    </w:p>
    <w:p w14:paraId="79942770" w14:textId="77777777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  <w:lang w:val="en-GB"/>
        </w:rPr>
      </w:pPr>
      <w:r w:rsidRPr="00C55887">
        <w:rPr>
          <w:rFonts w:ascii="Calibri" w:hAnsi="Calibri" w:cs="Arial"/>
          <w:sz w:val="20"/>
          <w:szCs w:val="20"/>
          <w:lang w:val="en-GB"/>
        </w:rPr>
        <w:t xml:space="preserve">10 - Chauveau F, Aissouni Y, Hamm J, Boutin H, Libri D, </w:t>
      </w:r>
      <w:r w:rsidRPr="00C55887">
        <w:rPr>
          <w:rFonts w:ascii="Calibri" w:hAnsi="Calibri" w:cs="Arial"/>
          <w:sz w:val="20"/>
          <w:szCs w:val="20"/>
          <w:u w:val="single"/>
          <w:lang w:val="en-GB"/>
        </w:rPr>
        <w:t>Ducongé F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, Tavitian B. (2007) </w:t>
      </w:r>
      <w:r w:rsidRPr="00C55887">
        <w:rPr>
          <w:rFonts w:ascii="Calibri" w:hAnsi="Calibri" w:cs="Arial"/>
          <w:i/>
          <w:sz w:val="20"/>
          <w:szCs w:val="20"/>
          <w:lang w:val="en-GB"/>
        </w:rPr>
        <w:t>Binding of an aptamer to the N-terminal fragment of VCAM-1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. </w:t>
      </w:r>
      <w:r w:rsidRPr="00C55887">
        <w:rPr>
          <w:rFonts w:ascii="Calibri" w:hAnsi="Calibri" w:cs="Arial"/>
          <w:b/>
          <w:sz w:val="20"/>
          <w:szCs w:val="20"/>
          <w:lang w:val="en-GB"/>
        </w:rPr>
        <w:t>Bioorg Med Chem Lett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 17:6119-6122.</w:t>
      </w:r>
    </w:p>
    <w:p w14:paraId="43B9F23E" w14:textId="77777777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  <w:lang w:val="en-GB"/>
        </w:rPr>
      </w:pPr>
    </w:p>
    <w:p w14:paraId="4F8F066B" w14:textId="77777777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  <w:lang w:val="en-GB"/>
        </w:rPr>
      </w:pPr>
      <w:r w:rsidRPr="00C55887">
        <w:rPr>
          <w:rFonts w:ascii="Calibri" w:hAnsi="Calibri" w:cs="Arial"/>
          <w:sz w:val="20"/>
          <w:szCs w:val="20"/>
          <w:lang w:val="en-GB"/>
        </w:rPr>
        <w:t xml:space="preserve">11 - Vento MT, Iuorio M, Netti PA, </w:t>
      </w:r>
      <w:r w:rsidRPr="00C55887">
        <w:rPr>
          <w:rFonts w:ascii="Calibri" w:hAnsi="Calibri" w:cs="Arial"/>
          <w:sz w:val="20"/>
          <w:szCs w:val="20"/>
          <w:u w:val="single"/>
          <w:lang w:val="en-GB"/>
        </w:rPr>
        <w:t>Ducongé F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, Tavitian B, de Franciscis V, Cerchia L. (2008) </w:t>
      </w:r>
      <w:r w:rsidRPr="00C55887">
        <w:rPr>
          <w:rFonts w:ascii="Calibri" w:hAnsi="Calibri" w:cs="Arial"/>
          <w:i/>
          <w:sz w:val="20"/>
          <w:szCs w:val="20"/>
          <w:lang w:val="en-GB"/>
        </w:rPr>
        <w:t>Distribution and bioactivity of the Ret-specific D4 aptamer in 3-dimensional collagen gel cultures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. </w:t>
      </w:r>
      <w:r w:rsidRPr="00C55887">
        <w:rPr>
          <w:rFonts w:ascii="Calibri" w:hAnsi="Calibri" w:cs="Arial"/>
          <w:b/>
          <w:sz w:val="20"/>
          <w:szCs w:val="20"/>
          <w:lang w:val="en-GB"/>
        </w:rPr>
        <w:t>Molecular Cancer Therapeutics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 7:3381-3388.</w:t>
      </w:r>
    </w:p>
    <w:p w14:paraId="3CF6252B" w14:textId="77777777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  <w:u w:val="single"/>
          <w:lang w:val="en-GB"/>
        </w:rPr>
      </w:pPr>
    </w:p>
    <w:p w14:paraId="49FCA47C" w14:textId="77777777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  <w:lang w:val="en-GB"/>
        </w:rPr>
      </w:pPr>
      <w:r w:rsidRPr="00C55887">
        <w:rPr>
          <w:rFonts w:ascii="Calibri" w:hAnsi="Calibri" w:cs="Arial"/>
          <w:sz w:val="20"/>
          <w:szCs w:val="20"/>
          <w:u w:val="single"/>
          <w:lang w:val="en-GB"/>
        </w:rPr>
        <w:t>12 - Ducongé F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, Pons T, Pestourie C, Herin L, Theze B, Gombert K, Mahler B, Hinnen F, Kuhnast B, Dolle F, Dubertret B, Tavitian B. (2008) </w:t>
      </w:r>
      <w:r w:rsidRPr="00C55887">
        <w:rPr>
          <w:rFonts w:ascii="Calibri" w:hAnsi="Calibri" w:cs="Arial"/>
          <w:i/>
          <w:sz w:val="20"/>
          <w:szCs w:val="20"/>
          <w:lang w:val="en-GB"/>
        </w:rPr>
        <w:t>Fluorine-18-labeled phospholipid quantum dot micelles for in vivo multimodal imaging from whole body to cellular scales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. </w:t>
      </w:r>
      <w:r w:rsidRPr="00C55887">
        <w:rPr>
          <w:rFonts w:ascii="Calibri" w:hAnsi="Calibri" w:cs="Arial"/>
          <w:b/>
          <w:sz w:val="20"/>
          <w:szCs w:val="20"/>
          <w:lang w:val="en-GB"/>
        </w:rPr>
        <w:t>Bioconjug Chem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 19:1921-1926.</w:t>
      </w:r>
    </w:p>
    <w:p w14:paraId="7C3EF5EC" w14:textId="77777777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  <w:lang w:val="en-GB"/>
        </w:rPr>
      </w:pPr>
    </w:p>
    <w:p w14:paraId="166D4683" w14:textId="77777777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  <w:lang w:val="en-GB"/>
        </w:rPr>
      </w:pPr>
      <w:r w:rsidRPr="00C55887">
        <w:rPr>
          <w:rFonts w:ascii="Calibri" w:hAnsi="Calibri" w:cs="Arial"/>
          <w:bCs/>
          <w:iCs/>
          <w:sz w:val="20"/>
          <w:szCs w:val="20"/>
          <w:lang w:val="en-GB"/>
        </w:rPr>
        <w:t>13 - Chabottaux V., Ricaud S., Host L., Blacher S., Paye A.</w:t>
      </w:r>
      <w:r w:rsidRPr="00C55887">
        <w:rPr>
          <w:rFonts w:ascii="Calibri" w:hAnsi="Calibri" w:cs="Arial"/>
          <w:iCs/>
          <w:sz w:val="20"/>
          <w:szCs w:val="20"/>
          <w:lang w:val="en-GB"/>
        </w:rPr>
        <w:t xml:space="preserve">, </w:t>
      </w:r>
      <w:r w:rsidRPr="00C55887">
        <w:rPr>
          <w:rFonts w:ascii="Calibri" w:hAnsi="Calibri" w:cs="Arial"/>
          <w:bCs/>
          <w:iCs/>
          <w:sz w:val="20"/>
          <w:szCs w:val="20"/>
          <w:lang w:val="en-GB"/>
        </w:rPr>
        <w:t xml:space="preserve">Thiry M., Garofalakis A., </w:t>
      </w:r>
      <w:r w:rsidRPr="00C55887">
        <w:rPr>
          <w:rFonts w:ascii="Calibri" w:hAnsi="Calibri" w:cs="Arial"/>
          <w:sz w:val="20"/>
          <w:szCs w:val="20"/>
          <w:lang w:val="en-GB"/>
        </w:rPr>
        <w:t>Pestourie C., Gombert K.</w:t>
      </w:r>
      <w:r w:rsidRPr="00C55887">
        <w:rPr>
          <w:rFonts w:ascii="Calibri" w:hAnsi="Calibri" w:cs="Arial"/>
          <w:bCs/>
          <w:iCs/>
          <w:sz w:val="20"/>
          <w:szCs w:val="20"/>
          <w:lang w:val="en-GB"/>
        </w:rPr>
        <w:t xml:space="preserve">, Bruyère F., Lewandowsky D., </w:t>
      </w:r>
      <w:r w:rsidRPr="00C55887">
        <w:rPr>
          <w:rFonts w:ascii="Calibri" w:hAnsi="Calibri" w:cs="Arial"/>
          <w:iCs/>
          <w:sz w:val="20"/>
          <w:szCs w:val="20"/>
          <w:lang w:val="en-GB"/>
        </w:rPr>
        <w:t xml:space="preserve">Tavitian B., Foidart J.-M., </w:t>
      </w:r>
      <w:r w:rsidRPr="00C55887">
        <w:rPr>
          <w:rFonts w:ascii="Calibri" w:hAnsi="Calibri" w:cs="Arial"/>
          <w:iCs/>
          <w:sz w:val="20"/>
          <w:szCs w:val="20"/>
          <w:u w:val="single"/>
          <w:lang w:val="en-GB"/>
        </w:rPr>
        <w:t>Ducongé F</w:t>
      </w:r>
      <w:r w:rsidRPr="00C55887">
        <w:rPr>
          <w:rFonts w:ascii="Calibri" w:hAnsi="Calibri" w:cs="Arial"/>
          <w:iCs/>
          <w:sz w:val="20"/>
          <w:szCs w:val="20"/>
          <w:lang w:val="en-GB"/>
        </w:rPr>
        <w:t>. and  Noël A.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 (2009) </w:t>
      </w:r>
      <w:r w:rsidRPr="00C55887">
        <w:rPr>
          <w:rFonts w:ascii="Calibri" w:hAnsi="Calibri" w:cs="Arial"/>
          <w:i/>
          <w:iCs/>
          <w:sz w:val="20"/>
          <w:szCs w:val="20"/>
          <w:lang w:val="en-GB"/>
        </w:rPr>
        <w:t>Membrane-Type 4 Matrix Metalloproteinase (MT4-MMP) induces lung metastasis by alteration of primary breast tumor vascular architecture.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 </w:t>
      </w:r>
      <w:r w:rsidRPr="00C55887">
        <w:rPr>
          <w:rFonts w:ascii="Calibri" w:hAnsi="Calibri" w:cs="Arial"/>
          <w:bCs/>
          <w:sz w:val="20"/>
          <w:szCs w:val="20"/>
          <w:lang w:val="en-GB"/>
        </w:rPr>
        <w:t xml:space="preserve"> </w:t>
      </w:r>
      <w:r w:rsidRPr="00C55887">
        <w:rPr>
          <w:rFonts w:ascii="Calibri" w:hAnsi="Calibri" w:cs="Arial"/>
          <w:b/>
          <w:sz w:val="20"/>
          <w:szCs w:val="20"/>
          <w:lang w:val="en-GB"/>
        </w:rPr>
        <w:t>Journal of Cellular and Molecular Medicine</w:t>
      </w:r>
      <w:r w:rsidRPr="00747A12">
        <w:rPr>
          <w:rFonts w:ascii="Calibri" w:hAnsi="Calibri" w:cs="Arial"/>
          <w:sz w:val="20"/>
          <w:szCs w:val="20"/>
          <w:lang w:val="en-GB"/>
        </w:rPr>
        <w:t xml:space="preserve">, </w:t>
      </w:r>
      <w:r w:rsidR="00747A12" w:rsidRPr="00747A12">
        <w:rPr>
          <w:rFonts w:ascii="Calibri" w:hAnsi="Calibri" w:cs="Arial"/>
          <w:bCs/>
          <w:sz w:val="20"/>
          <w:szCs w:val="20"/>
        </w:rPr>
        <w:t>13</w:t>
      </w:r>
      <w:r w:rsidR="00747A12" w:rsidRPr="00747A12">
        <w:rPr>
          <w:rFonts w:ascii="Calibri" w:hAnsi="Calibri" w:cs="Arial"/>
          <w:sz w:val="20"/>
          <w:szCs w:val="20"/>
        </w:rPr>
        <w:t>, 4002-4013</w:t>
      </w:r>
      <w:r w:rsidRPr="00C55887">
        <w:rPr>
          <w:rFonts w:ascii="Calibri" w:hAnsi="Calibri" w:cs="Arial"/>
          <w:sz w:val="20"/>
          <w:szCs w:val="20"/>
          <w:lang w:val="en-GB"/>
        </w:rPr>
        <w:t>.</w:t>
      </w:r>
    </w:p>
    <w:p w14:paraId="7936D917" w14:textId="77777777" w:rsidR="00D36A4B" w:rsidRPr="00C55887" w:rsidRDefault="00D36A4B" w:rsidP="00D36A4B">
      <w:pPr>
        <w:jc w:val="both"/>
        <w:rPr>
          <w:rFonts w:ascii="Calibri" w:hAnsi="Calibri" w:cs="Arial"/>
          <w:sz w:val="20"/>
          <w:szCs w:val="20"/>
          <w:lang w:val="en-GB"/>
        </w:rPr>
      </w:pPr>
    </w:p>
    <w:p w14:paraId="48334ED3" w14:textId="61539ECA" w:rsidR="002E69FB" w:rsidRPr="002E69FB" w:rsidRDefault="00D36A4B" w:rsidP="002E69FB">
      <w:pPr>
        <w:jc w:val="both"/>
        <w:rPr>
          <w:rFonts w:ascii="Calibri" w:hAnsi="Calibri" w:cs="Arial"/>
          <w:sz w:val="20"/>
          <w:szCs w:val="20"/>
        </w:rPr>
      </w:pPr>
      <w:r w:rsidRPr="00C55887">
        <w:rPr>
          <w:rFonts w:ascii="Calibri" w:hAnsi="Calibri" w:cs="Arial"/>
          <w:sz w:val="20"/>
          <w:szCs w:val="20"/>
          <w:lang w:val="en-GB"/>
        </w:rPr>
        <w:t xml:space="preserve">14 - Zueva E., Rubio L.I., </w:t>
      </w:r>
      <w:r w:rsidRPr="00C55887">
        <w:rPr>
          <w:rFonts w:ascii="Calibri" w:hAnsi="Calibri" w:cs="Arial"/>
          <w:sz w:val="20"/>
          <w:szCs w:val="20"/>
          <w:u w:val="single"/>
          <w:lang w:val="en-GB"/>
        </w:rPr>
        <w:t>Ducongé F.</w:t>
      </w:r>
      <w:r w:rsidR="002A1880">
        <w:rPr>
          <w:rFonts w:ascii="Calibri" w:hAnsi="Calibri" w:cs="Arial"/>
          <w:sz w:val="20"/>
          <w:szCs w:val="20"/>
          <w:lang w:val="en-GB"/>
        </w:rPr>
        <w:t>, Tavitian B. (2010) Me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tastasis-focused cell based SELEX generates aptamers inhibiting cell migration and invasion. </w:t>
      </w:r>
      <w:r w:rsidRPr="00C55887">
        <w:rPr>
          <w:rFonts w:ascii="Calibri" w:hAnsi="Calibri" w:cs="Arial"/>
          <w:b/>
          <w:sz w:val="20"/>
          <w:szCs w:val="20"/>
          <w:lang w:val="en-GB"/>
        </w:rPr>
        <w:t>Int J Cancer</w:t>
      </w:r>
      <w:r w:rsidRPr="00C55887">
        <w:rPr>
          <w:rFonts w:ascii="Calibri" w:hAnsi="Calibri" w:cs="Arial"/>
          <w:sz w:val="20"/>
          <w:szCs w:val="20"/>
          <w:lang w:val="en-GB"/>
        </w:rPr>
        <w:t xml:space="preserve">, </w:t>
      </w:r>
      <w:r w:rsidR="002E69FB" w:rsidRPr="002E69FB">
        <w:rPr>
          <w:rFonts w:ascii="Calibri" w:hAnsi="Calibri" w:cs="Arial"/>
          <w:bCs/>
          <w:sz w:val="20"/>
          <w:szCs w:val="20"/>
        </w:rPr>
        <w:t>128</w:t>
      </w:r>
      <w:r w:rsidR="002E69FB" w:rsidRPr="002E69FB">
        <w:rPr>
          <w:rFonts w:ascii="Calibri" w:hAnsi="Calibri" w:cs="Arial"/>
          <w:sz w:val="20"/>
          <w:szCs w:val="20"/>
        </w:rPr>
        <w:t>, 797-804.</w:t>
      </w:r>
    </w:p>
    <w:p w14:paraId="7363DE13" w14:textId="77777777" w:rsidR="00D36A4B" w:rsidRPr="00C55887" w:rsidRDefault="00D36A4B" w:rsidP="00D36A4B">
      <w:pPr>
        <w:jc w:val="both"/>
        <w:rPr>
          <w:rFonts w:ascii="Calibri" w:hAnsi="Calibri" w:cs="Arial"/>
          <w:bCs/>
          <w:iCs/>
          <w:sz w:val="20"/>
          <w:szCs w:val="20"/>
          <w:lang w:val="en-GB"/>
        </w:rPr>
      </w:pPr>
    </w:p>
    <w:p w14:paraId="594B6E8B" w14:textId="77777777" w:rsidR="00D36A4B" w:rsidRPr="00C55887" w:rsidRDefault="00D36A4B" w:rsidP="00D36A4B">
      <w:pPr>
        <w:jc w:val="both"/>
        <w:rPr>
          <w:rFonts w:ascii="Calibri" w:hAnsi="Calibri" w:cs="Arial"/>
          <w:bCs/>
          <w:iCs/>
          <w:sz w:val="20"/>
          <w:szCs w:val="20"/>
          <w:lang w:val="en-GB"/>
        </w:rPr>
      </w:pPr>
      <w:r w:rsidRPr="00C55887">
        <w:rPr>
          <w:rFonts w:ascii="Calibri" w:hAnsi="Calibri" w:cs="Arial"/>
          <w:bCs/>
          <w:iCs/>
          <w:sz w:val="20"/>
          <w:szCs w:val="20"/>
          <w:lang w:val="en-GB"/>
        </w:rPr>
        <w:lastRenderedPageBreak/>
        <w:t xml:space="preserve">15 - Pestourie C., Le Helleix S., Gombert K., Thézé B., Kuhnast B., Dollé F., Tavitian B. and </w:t>
      </w:r>
      <w:r w:rsidRPr="00C55887">
        <w:rPr>
          <w:rFonts w:ascii="Calibri" w:hAnsi="Calibri" w:cs="Arial"/>
          <w:bCs/>
          <w:iCs/>
          <w:sz w:val="20"/>
          <w:szCs w:val="20"/>
          <w:u w:val="single"/>
          <w:lang w:val="en-GB"/>
        </w:rPr>
        <w:t>Ducongé F.</w:t>
      </w:r>
      <w:r w:rsidRPr="00C55887">
        <w:rPr>
          <w:rFonts w:ascii="Calibri" w:hAnsi="Calibri" w:cs="Arial"/>
          <w:bCs/>
          <w:iCs/>
          <w:sz w:val="20"/>
          <w:szCs w:val="20"/>
          <w:lang w:val="en-GB"/>
        </w:rPr>
        <w:t xml:space="preserve"> (2010) </w:t>
      </w:r>
      <w:r w:rsidRPr="00C55887">
        <w:rPr>
          <w:rFonts w:ascii="Calibri" w:hAnsi="Calibri" w:cs="Arial"/>
          <w:bCs/>
          <w:i/>
          <w:iCs/>
          <w:sz w:val="20"/>
          <w:szCs w:val="20"/>
          <w:lang w:val="en-GB"/>
        </w:rPr>
        <w:t>PET imaging of Medullary Thyroid Carcinoma in MEN2A transgenic mice using 6-[</w:t>
      </w:r>
      <w:r w:rsidRPr="00C55887">
        <w:rPr>
          <w:rFonts w:ascii="Calibri" w:hAnsi="Calibri" w:cs="Arial"/>
          <w:bCs/>
          <w:i/>
          <w:iCs/>
          <w:sz w:val="20"/>
          <w:szCs w:val="20"/>
          <w:vertAlign w:val="superscript"/>
          <w:lang w:val="en-GB"/>
        </w:rPr>
        <w:t>18</w:t>
      </w:r>
      <w:r w:rsidRPr="00C55887">
        <w:rPr>
          <w:rFonts w:ascii="Calibri" w:hAnsi="Calibri" w:cs="Arial"/>
          <w:bCs/>
          <w:i/>
          <w:iCs/>
          <w:sz w:val="20"/>
          <w:szCs w:val="20"/>
          <w:lang w:val="en-GB"/>
        </w:rPr>
        <w:t>F]F-</w:t>
      </w:r>
      <w:r w:rsidRPr="00C55887">
        <w:rPr>
          <w:rFonts w:ascii="Calibri" w:hAnsi="Calibri" w:cs="Arial"/>
          <w:bCs/>
          <w:i/>
          <w:iCs/>
          <w:sz w:val="20"/>
          <w:szCs w:val="20"/>
          <w:vertAlign w:val="subscript"/>
          <w:lang w:val="en-GB"/>
        </w:rPr>
        <w:t>L</w:t>
      </w:r>
      <w:r w:rsidRPr="00C55887">
        <w:rPr>
          <w:rFonts w:ascii="Calibri" w:hAnsi="Calibri" w:cs="Arial"/>
          <w:bCs/>
          <w:i/>
          <w:iCs/>
          <w:sz w:val="20"/>
          <w:szCs w:val="20"/>
          <w:lang w:val="en-GB"/>
        </w:rPr>
        <w:t>-DOPA.</w:t>
      </w:r>
      <w:r w:rsidRPr="00C55887">
        <w:rPr>
          <w:rFonts w:ascii="Calibri" w:hAnsi="Calibri" w:cs="Arial"/>
          <w:bCs/>
          <w:iCs/>
          <w:sz w:val="20"/>
          <w:szCs w:val="20"/>
          <w:lang w:val="en-GB"/>
        </w:rPr>
        <w:t xml:space="preserve"> </w:t>
      </w:r>
      <w:r w:rsidRPr="00C55887">
        <w:rPr>
          <w:rFonts w:ascii="Calibri" w:hAnsi="Calibri" w:cs="Arial"/>
          <w:b/>
          <w:bCs/>
          <w:iCs/>
          <w:sz w:val="20"/>
          <w:szCs w:val="20"/>
          <w:lang w:val="en-GB"/>
        </w:rPr>
        <w:t>European Journal of Nuclear Medecine</w:t>
      </w:r>
      <w:r w:rsidRPr="00C55887">
        <w:rPr>
          <w:rFonts w:ascii="Calibri" w:hAnsi="Calibri" w:cs="Arial"/>
          <w:bCs/>
          <w:iCs/>
          <w:sz w:val="20"/>
          <w:szCs w:val="20"/>
          <w:lang w:val="en-GB"/>
        </w:rPr>
        <w:t>, 37(1):58-66.</w:t>
      </w:r>
    </w:p>
    <w:p w14:paraId="3DDCBD36" w14:textId="77777777" w:rsidR="00D36A4B" w:rsidRPr="00C55887" w:rsidRDefault="00D36A4B" w:rsidP="00D36A4B">
      <w:pPr>
        <w:jc w:val="both"/>
        <w:rPr>
          <w:rFonts w:ascii="Calibri" w:eastAsia="Batang" w:hAnsi="Calibri" w:cs="Arial"/>
          <w:sz w:val="20"/>
          <w:szCs w:val="20"/>
          <w:lang w:val="en-GB" w:eastAsia="ko-KR"/>
        </w:rPr>
      </w:pPr>
    </w:p>
    <w:p w14:paraId="58539DFA" w14:textId="45916AC7" w:rsidR="00D36A4B" w:rsidRPr="00C55887" w:rsidRDefault="00D36A4B" w:rsidP="00D36A4B">
      <w:pPr>
        <w:jc w:val="both"/>
        <w:rPr>
          <w:rFonts w:ascii="Calibri" w:hAnsi="Calibri" w:cs="Arial"/>
          <w:bCs/>
          <w:iCs/>
          <w:sz w:val="20"/>
          <w:szCs w:val="20"/>
          <w:lang w:val="en-GB"/>
        </w:rPr>
      </w:pPr>
      <w:r w:rsidRPr="00C55887">
        <w:rPr>
          <w:rFonts w:ascii="Calibri" w:eastAsia="Batang" w:hAnsi="Calibri" w:cs="Arial"/>
          <w:sz w:val="20"/>
          <w:szCs w:val="20"/>
          <w:lang w:val="en-GB" w:eastAsia="ko-KR"/>
        </w:rPr>
        <w:t xml:space="preserve">16 - Lewandowski, D., Barroca, V., </w:t>
      </w:r>
      <w:r w:rsidRPr="00C55887">
        <w:rPr>
          <w:rFonts w:ascii="Calibri" w:eastAsia="Batang" w:hAnsi="Calibri" w:cs="Arial"/>
          <w:sz w:val="20"/>
          <w:szCs w:val="20"/>
          <w:u w:val="single"/>
          <w:lang w:val="en-GB" w:eastAsia="ko-KR"/>
        </w:rPr>
        <w:t>Duconge, F.</w:t>
      </w:r>
      <w:r w:rsidRPr="00C55887">
        <w:rPr>
          <w:rFonts w:ascii="Calibri" w:eastAsia="Batang" w:hAnsi="Calibri" w:cs="Arial"/>
          <w:sz w:val="20"/>
          <w:szCs w:val="20"/>
          <w:lang w:val="en-GB" w:eastAsia="ko-KR"/>
        </w:rPr>
        <w:t xml:space="preserve">, Bayer, J., Tran Van Nhieu, J., Pestourie, C., Fouchet, P., Tavitian, B. and Romeo, P.H. (2010) </w:t>
      </w:r>
      <w:r w:rsidRPr="00C55887">
        <w:rPr>
          <w:rFonts w:ascii="Calibri" w:eastAsia="Batang" w:hAnsi="Calibri" w:cs="Arial"/>
          <w:i/>
          <w:sz w:val="20"/>
          <w:szCs w:val="20"/>
          <w:lang w:val="en-GB" w:eastAsia="ko-KR"/>
        </w:rPr>
        <w:t>In vivo cellular imaging pinpoints the role of reactive oxygen species in the early steps of adult hematopoietic reconstitution</w:t>
      </w:r>
      <w:r w:rsidRPr="00C55887">
        <w:rPr>
          <w:rFonts w:ascii="Calibri" w:eastAsia="Batang" w:hAnsi="Calibri" w:cs="Arial"/>
          <w:sz w:val="20"/>
          <w:szCs w:val="20"/>
          <w:lang w:val="en-GB" w:eastAsia="ko-KR"/>
        </w:rPr>
        <w:t xml:space="preserve">. </w:t>
      </w:r>
      <w:r w:rsidRPr="00C55887">
        <w:rPr>
          <w:rFonts w:ascii="Calibri" w:eastAsia="Batang" w:hAnsi="Calibri" w:cs="Arial"/>
          <w:b/>
          <w:iCs/>
          <w:sz w:val="20"/>
          <w:szCs w:val="20"/>
          <w:lang w:val="en-GB" w:eastAsia="ko-KR"/>
        </w:rPr>
        <w:t>Blood</w:t>
      </w:r>
      <w:r w:rsidRPr="00C55887">
        <w:rPr>
          <w:rFonts w:ascii="Calibri" w:eastAsia="Batang" w:hAnsi="Calibri" w:cs="Arial"/>
          <w:iCs/>
          <w:sz w:val="20"/>
          <w:szCs w:val="20"/>
          <w:lang w:val="en-GB" w:eastAsia="ko-KR"/>
        </w:rPr>
        <w:t>, 115(3):443-52</w:t>
      </w:r>
      <w:r w:rsidRPr="00C55887">
        <w:rPr>
          <w:rFonts w:ascii="Calibri" w:eastAsia="Batang" w:hAnsi="Calibri" w:cs="Arial"/>
          <w:sz w:val="20"/>
          <w:szCs w:val="20"/>
          <w:lang w:val="en-GB" w:eastAsia="ko-KR"/>
        </w:rPr>
        <w:t xml:space="preserve">. </w:t>
      </w:r>
      <w:r w:rsidR="00907F19">
        <w:rPr>
          <w:rFonts w:ascii="Calibri" w:eastAsia="Batang" w:hAnsi="Calibri" w:cs="Arial"/>
          <w:i/>
          <w:sz w:val="20"/>
          <w:szCs w:val="20"/>
          <w:lang w:val="en-GB" w:eastAsia="ko-KR"/>
        </w:rPr>
        <w:t>Designated</w:t>
      </w:r>
      <w:r w:rsidRPr="00F013AB">
        <w:rPr>
          <w:rFonts w:ascii="Calibri" w:eastAsia="Batang" w:hAnsi="Calibri" w:cs="Arial"/>
          <w:i/>
          <w:sz w:val="20"/>
          <w:szCs w:val="20"/>
          <w:lang w:val="en-GB" w:eastAsia="ko-KR"/>
        </w:rPr>
        <w:t xml:space="preserve"> as plenary paper by editors of </w:t>
      </w:r>
      <w:r w:rsidR="00907F19">
        <w:rPr>
          <w:rFonts w:ascii="Calibri" w:eastAsia="Batang" w:hAnsi="Calibri" w:cs="Arial"/>
          <w:i/>
          <w:sz w:val="20"/>
          <w:szCs w:val="20"/>
          <w:lang w:val="en-GB" w:eastAsia="ko-KR"/>
        </w:rPr>
        <w:t>B</w:t>
      </w:r>
      <w:r w:rsidRPr="00F013AB">
        <w:rPr>
          <w:rFonts w:ascii="Calibri" w:eastAsia="Batang" w:hAnsi="Calibri" w:cs="Arial"/>
          <w:i/>
          <w:sz w:val="20"/>
          <w:szCs w:val="20"/>
          <w:lang w:val="en-GB" w:eastAsia="ko-KR"/>
        </w:rPr>
        <w:t>lood</w:t>
      </w:r>
    </w:p>
    <w:p w14:paraId="1AE0661A" w14:textId="77777777" w:rsidR="00D36A4B" w:rsidRPr="00C55887" w:rsidRDefault="00D36A4B" w:rsidP="00D36A4B">
      <w:pPr>
        <w:pStyle w:val="HTMLprformat"/>
        <w:jc w:val="both"/>
        <w:rPr>
          <w:rFonts w:ascii="Calibri" w:hAnsi="Calibri"/>
          <w:lang w:val="en-GB"/>
        </w:rPr>
      </w:pPr>
    </w:p>
    <w:p w14:paraId="2DB9A49A" w14:textId="77777777" w:rsidR="00D36A4B" w:rsidRPr="00C55887" w:rsidRDefault="00D36A4B" w:rsidP="00D36A4B">
      <w:pPr>
        <w:pStyle w:val="HTMLprformat"/>
        <w:jc w:val="both"/>
        <w:rPr>
          <w:rFonts w:ascii="Calibri" w:hAnsi="Calibri" w:cs="Arial"/>
          <w:lang w:val="en-GB"/>
        </w:rPr>
      </w:pPr>
      <w:r w:rsidRPr="00C55887">
        <w:rPr>
          <w:rFonts w:ascii="Calibri" w:hAnsi="Calibri" w:cs="Arial"/>
          <w:lang w:val="en-GB"/>
        </w:rPr>
        <w:t xml:space="preserve">17 - Dupont D.M., Madsen J.B., Hartmann R.K., Tavitian B., </w:t>
      </w:r>
      <w:r w:rsidRPr="00C55887">
        <w:rPr>
          <w:rFonts w:ascii="Calibri" w:hAnsi="Calibri" w:cs="Arial"/>
          <w:u w:val="single"/>
          <w:lang w:val="en-GB"/>
        </w:rPr>
        <w:t>Ducongé F.</w:t>
      </w:r>
      <w:r w:rsidRPr="00C55887">
        <w:rPr>
          <w:rFonts w:ascii="Calibri" w:hAnsi="Calibri" w:cs="Arial"/>
          <w:lang w:val="en-GB"/>
        </w:rPr>
        <w:t xml:space="preserve">, Kjems J., Andreasen P.A. (2010) </w:t>
      </w:r>
      <w:r w:rsidRPr="00C55887">
        <w:rPr>
          <w:rFonts w:ascii="Calibri" w:hAnsi="Calibri" w:cs="Arial"/>
          <w:i/>
          <w:lang w:val="en-GB"/>
        </w:rPr>
        <w:t>Serum-stable RNA aptamers to urokinase-type plasminogen activator blocking receptor binding</w:t>
      </w:r>
      <w:r w:rsidRPr="00C55887">
        <w:rPr>
          <w:rFonts w:ascii="Calibri" w:hAnsi="Calibri" w:cs="Arial"/>
          <w:lang w:val="en-GB"/>
        </w:rPr>
        <w:t xml:space="preserve">. </w:t>
      </w:r>
      <w:r w:rsidRPr="00C55887">
        <w:rPr>
          <w:rFonts w:ascii="Calibri" w:hAnsi="Calibri" w:cs="Arial"/>
          <w:b/>
          <w:lang w:val="en-GB"/>
        </w:rPr>
        <w:t>RNA</w:t>
      </w:r>
      <w:r w:rsidRPr="00C55887">
        <w:rPr>
          <w:rFonts w:ascii="Calibri" w:hAnsi="Calibri" w:cs="Arial"/>
          <w:lang w:val="en-GB"/>
        </w:rPr>
        <w:t>, 16(12):2360-9.</w:t>
      </w:r>
    </w:p>
    <w:p w14:paraId="45EC616A" w14:textId="77777777" w:rsidR="00D36A4B" w:rsidRPr="00C55887" w:rsidRDefault="00D36A4B" w:rsidP="00D36A4B">
      <w:pPr>
        <w:pStyle w:val="HTMLprformat"/>
        <w:jc w:val="both"/>
        <w:rPr>
          <w:rFonts w:ascii="Calibri" w:hAnsi="Calibri" w:cs="Arial"/>
          <w:lang w:val="en-GB"/>
        </w:rPr>
      </w:pPr>
    </w:p>
    <w:p w14:paraId="18620590" w14:textId="77777777" w:rsidR="00D36A4B" w:rsidRDefault="00D36A4B" w:rsidP="00D36A4B">
      <w:pPr>
        <w:pStyle w:val="HTMLprformat"/>
        <w:jc w:val="both"/>
        <w:rPr>
          <w:rFonts w:ascii="Calibri" w:hAnsi="Calibri" w:cs="Arial"/>
        </w:rPr>
      </w:pPr>
      <w:r w:rsidRPr="00C55887">
        <w:rPr>
          <w:rFonts w:ascii="Calibri" w:hAnsi="Calibri" w:cs="Arial"/>
          <w:lang w:val="en-GB"/>
        </w:rPr>
        <w:t xml:space="preserve">18 - Garofalakis A., Dubois A., Kuhnast B., Dupont DM., Janssens I., Mackiewicz N., Dollé F., Tavitian B. and </w:t>
      </w:r>
      <w:r w:rsidRPr="00C55887">
        <w:rPr>
          <w:rFonts w:ascii="Calibri" w:hAnsi="Calibri" w:cs="Arial"/>
          <w:u w:val="single"/>
          <w:lang w:val="en-GB"/>
        </w:rPr>
        <w:t>Ducongé F.</w:t>
      </w:r>
      <w:r w:rsidRPr="00C55887">
        <w:rPr>
          <w:rFonts w:ascii="Calibri" w:hAnsi="Calibri" w:cs="Arial"/>
          <w:lang w:val="en-GB"/>
        </w:rPr>
        <w:t xml:space="preserve"> (2010) </w:t>
      </w:r>
      <w:r w:rsidRPr="00C55887">
        <w:rPr>
          <w:rFonts w:ascii="Calibri" w:hAnsi="Calibri" w:cs="Arial"/>
          <w:i/>
          <w:lang w:val="en-GB"/>
        </w:rPr>
        <w:t>In vivo validation of free-space fluorescence tomography using nuclear imaging</w:t>
      </w:r>
      <w:r w:rsidRPr="00C55887">
        <w:rPr>
          <w:rFonts w:ascii="Calibri" w:hAnsi="Calibri" w:cs="Arial"/>
          <w:lang w:val="en-GB"/>
        </w:rPr>
        <w:t xml:space="preserve">. </w:t>
      </w:r>
      <w:r w:rsidRPr="00C55887">
        <w:rPr>
          <w:rFonts w:ascii="Calibri" w:hAnsi="Calibri" w:cs="Arial"/>
          <w:b/>
        </w:rPr>
        <w:t>Opt Lett.,</w:t>
      </w:r>
      <w:r w:rsidRPr="00C55887">
        <w:rPr>
          <w:rFonts w:ascii="Calibri" w:hAnsi="Calibri" w:cs="Arial"/>
        </w:rPr>
        <w:t xml:space="preserve"> 35(18):3024-6</w:t>
      </w:r>
    </w:p>
    <w:p w14:paraId="037C27EE" w14:textId="77777777" w:rsidR="00BC31E3" w:rsidRDefault="00BC31E3" w:rsidP="00D36A4B">
      <w:pPr>
        <w:pStyle w:val="HTMLprformat"/>
        <w:jc w:val="both"/>
        <w:rPr>
          <w:rFonts w:ascii="Calibri" w:hAnsi="Calibri" w:cs="Arial"/>
        </w:rPr>
      </w:pPr>
    </w:p>
    <w:p w14:paraId="4D1474EE" w14:textId="77777777" w:rsidR="00BC31E3" w:rsidRDefault="00BC31E3" w:rsidP="00BC31E3">
      <w:pPr>
        <w:pStyle w:val="HTMLprformat"/>
        <w:jc w:val="both"/>
        <w:rPr>
          <w:rFonts w:ascii="Calibri" w:hAnsi="Calibri" w:cs="Arial"/>
        </w:rPr>
      </w:pPr>
      <w:r>
        <w:rPr>
          <w:rFonts w:ascii="Calibri" w:hAnsi="Calibri" w:cs="Arial"/>
          <w:lang w:val="en-US"/>
        </w:rPr>
        <w:t>19</w:t>
      </w:r>
      <w:r w:rsidR="00426929">
        <w:rPr>
          <w:rFonts w:ascii="Calibri" w:hAnsi="Calibri" w:cs="Arial"/>
          <w:lang w:val="en-US"/>
        </w:rPr>
        <w:t xml:space="preserve"> </w:t>
      </w:r>
      <w:r>
        <w:rPr>
          <w:rFonts w:ascii="Calibri" w:hAnsi="Calibri" w:cs="Arial"/>
          <w:lang w:val="en-US"/>
        </w:rPr>
        <w:t xml:space="preserve">- </w:t>
      </w:r>
      <w:r w:rsidRPr="00BC31E3">
        <w:rPr>
          <w:rFonts w:ascii="Calibri" w:hAnsi="Calibri" w:cs="Arial"/>
          <w:lang w:val="en-US"/>
        </w:rPr>
        <w:t>Mackiewicz</w:t>
      </w:r>
      <w:r>
        <w:rPr>
          <w:rFonts w:ascii="Calibri" w:hAnsi="Calibri" w:cs="Arial"/>
          <w:lang w:val="en-US"/>
        </w:rPr>
        <w:t xml:space="preserve"> N.,</w:t>
      </w:r>
      <w:r w:rsidRPr="00BC31E3">
        <w:rPr>
          <w:rFonts w:ascii="Calibri" w:hAnsi="Calibri" w:cs="Arial"/>
          <w:lang w:val="en-US"/>
        </w:rPr>
        <w:t xml:space="preserve"> Gravel</w:t>
      </w:r>
      <w:r>
        <w:rPr>
          <w:rFonts w:ascii="Calibri" w:hAnsi="Calibri" w:cs="Arial"/>
          <w:lang w:val="en-US"/>
        </w:rPr>
        <w:t xml:space="preserve"> E.</w:t>
      </w:r>
      <w:r w:rsidRPr="00BC31E3">
        <w:rPr>
          <w:rFonts w:ascii="Calibri" w:hAnsi="Calibri" w:cs="Arial"/>
          <w:lang w:val="en-US"/>
        </w:rPr>
        <w:t>, Garofalakis</w:t>
      </w:r>
      <w:r>
        <w:rPr>
          <w:rFonts w:ascii="Calibri" w:hAnsi="Calibri" w:cs="Arial"/>
          <w:lang w:val="en-US"/>
        </w:rPr>
        <w:t xml:space="preserve"> A.</w:t>
      </w:r>
      <w:r w:rsidRPr="00BC31E3">
        <w:rPr>
          <w:rFonts w:ascii="Calibri" w:hAnsi="Calibri" w:cs="Arial"/>
          <w:lang w:val="en-US"/>
        </w:rPr>
        <w:t>, Ogier</w:t>
      </w:r>
      <w:r>
        <w:rPr>
          <w:rFonts w:ascii="Calibri" w:hAnsi="Calibri" w:cs="Arial"/>
          <w:lang w:val="en-US"/>
        </w:rPr>
        <w:t xml:space="preserve"> J.</w:t>
      </w:r>
      <w:r w:rsidRPr="00BC31E3">
        <w:rPr>
          <w:rFonts w:ascii="Calibri" w:hAnsi="Calibri" w:cs="Arial"/>
          <w:lang w:val="en-US"/>
        </w:rPr>
        <w:t>, John</w:t>
      </w:r>
      <w:r>
        <w:rPr>
          <w:rFonts w:ascii="Calibri" w:hAnsi="Calibri" w:cs="Arial"/>
          <w:lang w:val="en-US"/>
        </w:rPr>
        <w:t xml:space="preserve"> J.</w:t>
      </w:r>
      <w:r w:rsidRPr="00BC31E3">
        <w:rPr>
          <w:rFonts w:ascii="Calibri" w:hAnsi="Calibri" w:cs="Arial"/>
          <w:lang w:val="en-US"/>
        </w:rPr>
        <w:t>, Dupont</w:t>
      </w:r>
      <w:r>
        <w:rPr>
          <w:rFonts w:ascii="Calibri" w:hAnsi="Calibri" w:cs="Arial"/>
          <w:lang w:val="en-US"/>
        </w:rPr>
        <w:t xml:space="preserve"> D. M.</w:t>
      </w:r>
      <w:r w:rsidRPr="00BC31E3">
        <w:rPr>
          <w:rFonts w:ascii="Calibri" w:hAnsi="Calibri" w:cs="Arial"/>
          <w:lang w:val="en-US"/>
        </w:rPr>
        <w:t>, Gombert</w:t>
      </w:r>
      <w:r>
        <w:rPr>
          <w:rFonts w:ascii="Calibri" w:hAnsi="Calibri" w:cs="Arial"/>
          <w:lang w:val="en-US"/>
        </w:rPr>
        <w:t xml:space="preserve"> K.</w:t>
      </w:r>
      <w:r w:rsidRPr="00BC31E3">
        <w:rPr>
          <w:rFonts w:ascii="Calibri" w:hAnsi="Calibri" w:cs="Arial"/>
          <w:lang w:val="en-US"/>
        </w:rPr>
        <w:t>, Tavitian</w:t>
      </w:r>
      <w:r>
        <w:rPr>
          <w:rFonts w:ascii="Calibri" w:hAnsi="Calibri" w:cs="Arial"/>
          <w:lang w:val="en-US"/>
        </w:rPr>
        <w:t xml:space="preserve"> B.</w:t>
      </w:r>
      <w:r w:rsidRPr="00BC31E3">
        <w:rPr>
          <w:rFonts w:ascii="Calibri" w:hAnsi="Calibri" w:cs="Arial"/>
          <w:lang w:val="en-US"/>
        </w:rPr>
        <w:t>, Doris</w:t>
      </w:r>
      <w:r>
        <w:rPr>
          <w:rFonts w:ascii="Calibri" w:hAnsi="Calibri" w:cs="Arial"/>
          <w:lang w:val="en-US"/>
        </w:rPr>
        <w:t xml:space="preserve"> E.</w:t>
      </w:r>
      <w:r w:rsidRPr="00BC31E3">
        <w:rPr>
          <w:rFonts w:ascii="Calibri" w:hAnsi="Calibri" w:cs="Arial"/>
          <w:lang w:val="en-US"/>
        </w:rPr>
        <w:t xml:space="preserve"> and </w:t>
      </w:r>
      <w:r w:rsidRPr="00D004EC">
        <w:rPr>
          <w:rFonts w:ascii="Calibri" w:hAnsi="Calibri" w:cs="Arial"/>
          <w:u w:val="single"/>
          <w:lang w:val="en-US"/>
        </w:rPr>
        <w:t>Ducongé F.</w:t>
      </w:r>
      <w:r>
        <w:rPr>
          <w:rFonts w:ascii="Calibri" w:hAnsi="Calibri" w:cs="Arial"/>
          <w:lang w:val="en-US"/>
        </w:rPr>
        <w:t xml:space="preserve"> (2011)</w:t>
      </w:r>
      <w:r w:rsidRPr="00BC31E3">
        <w:rPr>
          <w:rFonts w:ascii="Calibri" w:hAnsi="Calibri" w:cs="Arial"/>
          <w:lang w:val="en-US"/>
        </w:rPr>
        <w:t xml:space="preserve"> </w:t>
      </w:r>
      <w:r w:rsidRPr="00BC31E3">
        <w:rPr>
          <w:rFonts w:ascii="Calibri" w:hAnsi="Calibri" w:cs="Arial"/>
          <w:i/>
          <w:lang w:val="en-US"/>
        </w:rPr>
        <w:t>Tumor-Targeted Polydiacetylene Micelles for In Vivo Imaging and Drug Delivery</w:t>
      </w:r>
      <w:r>
        <w:rPr>
          <w:rFonts w:ascii="Calibri" w:hAnsi="Calibri" w:cs="Arial"/>
          <w:lang w:val="en-US"/>
        </w:rPr>
        <w:t xml:space="preserve">. </w:t>
      </w:r>
      <w:r w:rsidRPr="00BC31E3">
        <w:rPr>
          <w:rFonts w:ascii="Calibri" w:hAnsi="Calibri" w:cs="Arial"/>
          <w:b/>
          <w:lang w:val="en-US"/>
        </w:rPr>
        <w:t>Small</w:t>
      </w:r>
      <w:r>
        <w:rPr>
          <w:rFonts w:ascii="Calibri" w:hAnsi="Calibri" w:cs="Arial"/>
          <w:lang w:val="en-US"/>
        </w:rPr>
        <w:t xml:space="preserve">, </w:t>
      </w:r>
      <w:r w:rsidR="00426929" w:rsidRPr="00426929">
        <w:rPr>
          <w:rFonts w:ascii="Calibri" w:hAnsi="Calibri" w:cs="Arial"/>
        </w:rPr>
        <w:t>7(19),2786-92.</w:t>
      </w:r>
    </w:p>
    <w:p w14:paraId="24D6B364" w14:textId="77777777" w:rsidR="00CE350A" w:rsidRDefault="00CE350A" w:rsidP="00BC31E3">
      <w:pPr>
        <w:pStyle w:val="HTMLprformat"/>
        <w:jc w:val="both"/>
        <w:rPr>
          <w:rFonts w:ascii="Calibri" w:hAnsi="Calibri" w:cs="Arial"/>
        </w:rPr>
      </w:pPr>
    </w:p>
    <w:p w14:paraId="5BACD081" w14:textId="77777777" w:rsidR="00CE350A" w:rsidRDefault="00CE350A" w:rsidP="00BC31E3">
      <w:pPr>
        <w:pStyle w:val="HTMLprforma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20. </w:t>
      </w:r>
      <w:r w:rsidRPr="00CE350A">
        <w:rPr>
          <w:rFonts w:ascii="Calibri" w:hAnsi="Calibri" w:cs="Arial"/>
        </w:rPr>
        <w:t xml:space="preserve">Tong, X., Garofalakis, A., Dubois, A., Boisgard, R., </w:t>
      </w:r>
      <w:r w:rsidRPr="00D004EC">
        <w:rPr>
          <w:rFonts w:ascii="Calibri" w:hAnsi="Calibri" w:cs="Arial"/>
          <w:u w:val="single"/>
        </w:rPr>
        <w:t>Duconge, F</w:t>
      </w:r>
      <w:r w:rsidRPr="00CE350A">
        <w:rPr>
          <w:rFonts w:ascii="Calibri" w:hAnsi="Calibri" w:cs="Arial"/>
        </w:rPr>
        <w:t xml:space="preserve">., Trebossen, R. and Tavitian, B. (2012) </w:t>
      </w:r>
      <w:r w:rsidRPr="00EB4C58">
        <w:rPr>
          <w:rFonts w:ascii="Calibri" w:hAnsi="Calibri" w:cs="Arial"/>
          <w:i/>
        </w:rPr>
        <w:t>Co-registration of glucose metabolism with positron emission tomography and vascularity with fluorescent diffuse optical tomography in mouse tumors</w:t>
      </w:r>
      <w:r w:rsidRPr="00CE350A">
        <w:rPr>
          <w:rFonts w:ascii="Calibri" w:hAnsi="Calibri" w:cs="Arial"/>
        </w:rPr>
        <w:t xml:space="preserve">. </w:t>
      </w:r>
      <w:r w:rsidRPr="00CE350A">
        <w:rPr>
          <w:rFonts w:ascii="Calibri" w:hAnsi="Calibri" w:cs="Arial"/>
          <w:b/>
          <w:iCs/>
        </w:rPr>
        <w:t>EJNMMI Res</w:t>
      </w:r>
      <w:r w:rsidRPr="00CE350A">
        <w:rPr>
          <w:rFonts w:ascii="Calibri" w:hAnsi="Calibri" w:cs="Arial"/>
        </w:rPr>
        <w:t xml:space="preserve">, </w:t>
      </w:r>
      <w:r w:rsidRPr="00EB4C58">
        <w:rPr>
          <w:rFonts w:ascii="Calibri" w:hAnsi="Calibri" w:cs="Arial"/>
          <w:bCs/>
        </w:rPr>
        <w:t>2</w:t>
      </w:r>
      <w:r w:rsidRPr="00EB4C58">
        <w:rPr>
          <w:rFonts w:ascii="Calibri" w:hAnsi="Calibri" w:cs="Arial"/>
        </w:rPr>
        <w:t>,</w:t>
      </w:r>
      <w:r w:rsidRPr="00CE350A">
        <w:rPr>
          <w:rFonts w:ascii="Calibri" w:hAnsi="Calibri" w:cs="Arial"/>
        </w:rPr>
        <w:t xml:space="preserve"> 19.</w:t>
      </w:r>
      <w:r w:rsidR="00EB4C58">
        <w:rPr>
          <w:rFonts w:ascii="Calibri" w:hAnsi="Calibri" w:cs="Arial"/>
        </w:rPr>
        <w:t xml:space="preserve"> </w:t>
      </w:r>
      <w:r w:rsidR="00EB4C58" w:rsidRPr="00EB4C58">
        <w:rPr>
          <w:rFonts w:ascii="Calibri" w:hAnsi="Calibri" w:cs="Arial"/>
        </w:rPr>
        <w:t>[Epub ahead of print]</w:t>
      </w:r>
    </w:p>
    <w:p w14:paraId="0FC7C227" w14:textId="77777777" w:rsidR="00EB4C58" w:rsidRDefault="00EB4C58" w:rsidP="00BC31E3">
      <w:pPr>
        <w:pStyle w:val="HTMLprformat"/>
        <w:jc w:val="both"/>
        <w:rPr>
          <w:rFonts w:ascii="Calibri" w:hAnsi="Calibri" w:cs="Arial"/>
        </w:rPr>
      </w:pPr>
    </w:p>
    <w:p w14:paraId="7D700B1C" w14:textId="77777777" w:rsidR="00EB4C58" w:rsidRDefault="00EB4C58" w:rsidP="00BC31E3">
      <w:pPr>
        <w:pStyle w:val="HTMLprforma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21. </w:t>
      </w:r>
      <w:r w:rsidRPr="00EB4C58">
        <w:rPr>
          <w:rFonts w:ascii="Calibri" w:hAnsi="Calibri" w:cs="Arial"/>
        </w:rPr>
        <w:t xml:space="preserve">Garofalakis, A., Dubois, A., Theze, B., Czarny, B., Tavitian, B. and </w:t>
      </w:r>
      <w:r w:rsidRPr="00D004EC">
        <w:rPr>
          <w:rFonts w:ascii="Calibri" w:hAnsi="Calibri" w:cs="Arial"/>
          <w:u w:val="single"/>
        </w:rPr>
        <w:t>Duconge, F.</w:t>
      </w:r>
      <w:r w:rsidRPr="00EB4C58">
        <w:rPr>
          <w:rFonts w:ascii="Calibri" w:hAnsi="Calibri" w:cs="Arial"/>
        </w:rPr>
        <w:t xml:space="preserve"> (2012) </w:t>
      </w:r>
      <w:r w:rsidRPr="00EB4C58">
        <w:rPr>
          <w:rFonts w:ascii="Calibri" w:hAnsi="Calibri" w:cs="Arial"/>
          <w:i/>
        </w:rPr>
        <w:t>Fusion of [(18)F]FDG PET with Fluorescence Diffuse Optical Tomography to Improve Validation of Probes and Tumor Imaging</w:t>
      </w:r>
      <w:r w:rsidRPr="00EB4C58">
        <w:rPr>
          <w:rFonts w:ascii="Calibri" w:hAnsi="Calibri" w:cs="Arial"/>
        </w:rPr>
        <w:t xml:space="preserve">. </w:t>
      </w:r>
      <w:r w:rsidRPr="00EB4C58">
        <w:rPr>
          <w:rFonts w:ascii="Calibri" w:hAnsi="Calibri" w:cs="Arial"/>
          <w:b/>
          <w:i/>
          <w:iCs/>
        </w:rPr>
        <w:t xml:space="preserve">Mol </w:t>
      </w:r>
      <w:r w:rsidRPr="003B1CFA">
        <w:rPr>
          <w:rFonts w:ascii="Calibri" w:hAnsi="Calibri" w:cs="Arial"/>
          <w:b/>
          <w:iCs/>
        </w:rPr>
        <w:t>Imaging Biol</w:t>
      </w:r>
      <w:r w:rsidRPr="00EB4C58">
        <w:rPr>
          <w:rFonts w:ascii="Calibri" w:hAnsi="Calibri" w:cs="Arial"/>
          <w:b/>
        </w:rPr>
        <w:t>.</w:t>
      </w:r>
      <w:r>
        <w:rPr>
          <w:rFonts w:ascii="Calibri" w:hAnsi="Calibri" w:cs="Arial"/>
          <w:b/>
        </w:rPr>
        <w:t xml:space="preserve"> </w:t>
      </w:r>
      <w:r w:rsidRPr="00EB4C58">
        <w:rPr>
          <w:rFonts w:ascii="Calibri" w:hAnsi="Calibri" w:cs="Arial"/>
        </w:rPr>
        <w:t>[Epub ahead of print]</w:t>
      </w:r>
    </w:p>
    <w:p w14:paraId="4E67332C" w14:textId="77777777" w:rsidR="003B1CFA" w:rsidRDefault="003B1CFA" w:rsidP="00BC31E3">
      <w:pPr>
        <w:pStyle w:val="HTMLprformat"/>
        <w:jc w:val="both"/>
        <w:rPr>
          <w:rFonts w:ascii="Calibri" w:hAnsi="Calibri" w:cs="Arial"/>
        </w:rPr>
      </w:pPr>
    </w:p>
    <w:p w14:paraId="6822FE84" w14:textId="77777777" w:rsidR="003B1CFA" w:rsidRDefault="003B1CFA" w:rsidP="00BC31E3">
      <w:pPr>
        <w:pStyle w:val="HTMLprforma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22. </w:t>
      </w:r>
      <w:r w:rsidRPr="003B1CFA">
        <w:rPr>
          <w:rFonts w:ascii="Calibri" w:hAnsi="Calibri" w:cs="Arial"/>
        </w:rPr>
        <w:t xml:space="preserve">Gravel, E., Tanguy, C., Cassette, E., Pons, T., Knittel, F., Bernards, N., Garofalakis, A., </w:t>
      </w:r>
      <w:r w:rsidRPr="00DD2993">
        <w:rPr>
          <w:rFonts w:ascii="Calibri" w:hAnsi="Calibri" w:cs="Arial"/>
          <w:u w:val="single"/>
        </w:rPr>
        <w:t>Duconge, F</w:t>
      </w:r>
      <w:r w:rsidRPr="003B1CFA">
        <w:rPr>
          <w:rFonts w:ascii="Calibri" w:hAnsi="Calibri" w:cs="Arial"/>
        </w:rPr>
        <w:t xml:space="preserve">., Dubertret, B. and Doris, E. (2013) Compact tridentate ligands for enhanced aqueous stability of quantum dots and in vivo imaging. </w:t>
      </w:r>
      <w:r w:rsidRPr="003B1CFA">
        <w:rPr>
          <w:rFonts w:ascii="Calibri" w:hAnsi="Calibri" w:cs="Arial"/>
          <w:b/>
          <w:iCs/>
        </w:rPr>
        <w:t>Chemical Science</w:t>
      </w:r>
      <w:r w:rsidRPr="003B1CFA">
        <w:rPr>
          <w:rFonts w:ascii="Calibri" w:hAnsi="Calibri" w:cs="Arial"/>
        </w:rPr>
        <w:t xml:space="preserve">, </w:t>
      </w:r>
      <w:r w:rsidRPr="003B1CFA">
        <w:rPr>
          <w:rFonts w:ascii="Calibri" w:hAnsi="Calibri" w:cs="Arial"/>
          <w:bCs/>
        </w:rPr>
        <w:t>4</w:t>
      </w:r>
      <w:r w:rsidRPr="003B1CFA">
        <w:rPr>
          <w:rFonts w:ascii="Calibri" w:hAnsi="Calibri" w:cs="Arial"/>
        </w:rPr>
        <w:t>, 411-417.</w:t>
      </w:r>
    </w:p>
    <w:p w14:paraId="218AFE7F" w14:textId="77777777" w:rsidR="003331CE" w:rsidRDefault="003331CE" w:rsidP="00BC31E3">
      <w:pPr>
        <w:pStyle w:val="HTMLprformat"/>
        <w:jc w:val="both"/>
        <w:rPr>
          <w:rFonts w:ascii="Calibri" w:hAnsi="Calibri" w:cs="Arial"/>
        </w:rPr>
      </w:pPr>
    </w:p>
    <w:p w14:paraId="6C52213B" w14:textId="77777777" w:rsidR="003331CE" w:rsidRDefault="003331CE" w:rsidP="00BC31E3">
      <w:pPr>
        <w:pStyle w:val="HTMLprforma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23. </w:t>
      </w:r>
      <w:r w:rsidRPr="003331CE">
        <w:rPr>
          <w:rFonts w:ascii="Calibri" w:hAnsi="Calibri" w:cs="Arial"/>
        </w:rPr>
        <w:t xml:space="preserve">Gravel, E., Theze, B., Jacques, I., Anilkumar, P., Gombert, K., </w:t>
      </w:r>
      <w:r w:rsidRPr="00DD2993">
        <w:rPr>
          <w:rFonts w:ascii="Calibri" w:hAnsi="Calibri" w:cs="Arial"/>
          <w:u w:val="single"/>
        </w:rPr>
        <w:t>Duconge, F</w:t>
      </w:r>
      <w:r w:rsidRPr="003331CE">
        <w:rPr>
          <w:rFonts w:ascii="Calibri" w:hAnsi="Calibri" w:cs="Arial"/>
        </w:rPr>
        <w:t xml:space="preserve">. and Doris, E. (2013) Cellular uptake and trafficking of polydiacetylene micelles. </w:t>
      </w:r>
      <w:r w:rsidRPr="00242D43">
        <w:rPr>
          <w:rFonts w:ascii="Calibri" w:hAnsi="Calibri" w:cs="Arial"/>
          <w:b/>
        </w:rPr>
        <w:t>Nanoscale</w:t>
      </w:r>
      <w:r w:rsidRPr="003331CE">
        <w:rPr>
          <w:rFonts w:ascii="Calibri" w:hAnsi="Calibri" w:cs="Arial"/>
        </w:rPr>
        <w:t>, 5, 1955-1960.</w:t>
      </w:r>
    </w:p>
    <w:p w14:paraId="256D21F6" w14:textId="77777777" w:rsidR="004266B7" w:rsidRDefault="004266B7" w:rsidP="00BC31E3">
      <w:pPr>
        <w:pStyle w:val="HTMLprformat"/>
        <w:jc w:val="both"/>
        <w:rPr>
          <w:rFonts w:ascii="Calibri" w:hAnsi="Calibri" w:cs="Arial"/>
        </w:rPr>
      </w:pPr>
    </w:p>
    <w:p w14:paraId="55F5A72F" w14:textId="16953634" w:rsidR="004266B7" w:rsidRPr="004266B7" w:rsidRDefault="004266B7" w:rsidP="004266B7">
      <w:pPr>
        <w:pStyle w:val="HTMLprformat"/>
        <w:jc w:val="both"/>
        <w:rPr>
          <w:rFonts w:ascii="Calibri" w:hAnsi="Calibri" w:cs="Arial"/>
          <w:lang w:val="en-US"/>
        </w:rPr>
      </w:pPr>
      <w:r>
        <w:rPr>
          <w:rFonts w:ascii="Calibri" w:hAnsi="Calibri" w:cs="Arial"/>
        </w:rPr>
        <w:t xml:space="preserve">24. </w:t>
      </w:r>
      <w:r w:rsidRPr="004266B7">
        <w:rPr>
          <w:rFonts w:ascii="Calibri" w:hAnsi="Calibri" w:cs="Arial"/>
          <w:lang w:val="en-US"/>
        </w:rPr>
        <w:t>Cibiel</w:t>
      </w:r>
      <w:r w:rsidR="00CE50DA">
        <w:rPr>
          <w:rFonts w:ascii="Calibri" w:hAnsi="Calibri" w:cs="Arial"/>
          <w:lang w:val="en-US"/>
        </w:rPr>
        <w:t>, A.</w:t>
      </w:r>
      <w:r w:rsidRPr="004266B7">
        <w:rPr>
          <w:rFonts w:ascii="Calibri" w:hAnsi="Calibri" w:cs="Arial"/>
          <w:lang w:val="en-US"/>
        </w:rPr>
        <w:t>, Nguyen Quang</w:t>
      </w:r>
      <w:r w:rsidR="00CE50DA">
        <w:rPr>
          <w:rFonts w:ascii="Calibri" w:hAnsi="Calibri" w:cs="Arial"/>
          <w:lang w:val="en-US"/>
        </w:rPr>
        <w:t>, N.</w:t>
      </w:r>
      <w:r w:rsidRPr="004266B7">
        <w:rPr>
          <w:rFonts w:ascii="Calibri" w:hAnsi="Calibri" w:cs="Arial"/>
          <w:lang w:val="en-US"/>
        </w:rPr>
        <w:t>, Gombert</w:t>
      </w:r>
      <w:r w:rsidR="00CE50DA">
        <w:rPr>
          <w:rFonts w:ascii="Calibri" w:hAnsi="Calibri" w:cs="Arial"/>
          <w:lang w:val="en-US"/>
        </w:rPr>
        <w:t>, K.</w:t>
      </w:r>
      <w:r w:rsidRPr="004266B7">
        <w:rPr>
          <w:rFonts w:ascii="Calibri" w:hAnsi="Calibri" w:cs="Arial"/>
          <w:lang w:val="en-US"/>
        </w:rPr>
        <w:t>, Thezé</w:t>
      </w:r>
      <w:r w:rsidR="00CE50DA">
        <w:rPr>
          <w:rFonts w:ascii="Calibri" w:hAnsi="Calibri" w:cs="Arial"/>
          <w:lang w:val="en-US"/>
        </w:rPr>
        <w:t>, B.</w:t>
      </w:r>
      <w:r w:rsidRPr="004266B7">
        <w:rPr>
          <w:rFonts w:ascii="Calibri" w:hAnsi="Calibri" w:cs="Arial"/>
          <w:lang w:val="en-US"/>
        </w:rPr>
        <w:t>, Garofalakis</w:t>
      </w:r>
      <w:r w:rsidR="00CE50DA">
        <w:rPr>
          <w:rFonts w:ascii="Calibri" w:hAnsi="Calibri" w:cs="Arial"/>
          <w:lang w:val="en-US"/>
        </w:rPr>
        <w:t>, A.</w:t>
      </w:r>
      <w:r w:rsidRPr="004266B7">
        <w:rPr>
          <w:rFonts w:ascii="Calibri" w:hAnsi="Calibri" w:cs="Arial"/>
          <w:lang w:val="en-US"/>
        </w:rPr>
        <w:t xml:space="preserve"> and </w:t>
      </w:r>
      <w:bookmarkStart w:id="0" w:name="_GoBack"/>
      <w:r w:rsidRPr="00DD2993">
        <w:rPr>
          <w:rFonts w:ascii="Calibri" w:hAnsi="Calibri" w:cs="Arial"/>
          <w:u w:val="single"/>
          <w:lang w:val="en-US"/>
        </w:rPr>
        <w:t>Ducongé</w:t>
      </w:r>
      <w:r w:rsidR="00CE50DA" w:rsidRPr="00DD2993">
        <w:rPr>
          <w:rFonts w:ascii="Calibri" w:hAnsi="Calibri" w:cs="Arial"/>
          <w:u w:val="single"/>
          <w:lang w:val="en-US"/>
        </w:rPr>
        <w:t>, F</w:t>
      </w:r>
      <w:bookmarkEnd w:id="0"/>
      <w:r w:rsidR="00CE50DA">
        <w:rPr>
          <w:rFonts w:ascii="Calibri" w:hAnsi="Calibri" w:cs="Arial"/>
          <w:lang w:val="en-US"/>
        </w:rPr>
        <w:t>.</w:t>
      </w:r>
      <w:r>
        <w:rPr>
          <w:rFonts w:ascii="Calibri" w:hAnsi="Calibri" w:cs="Arial"/>
          <w:lang w:val="en-US"/>
        </w:rPr>
        <w:t xml:space="preserve"> (2014) F</w:t>
      </w:r>
      <w:r w:rsidRPr="004266B7">
        <w:rPr>
          <w:rFonts w:ascii="Calibri" w:hAnsi="Calibri" w:cs="Arial"/>
          <w:lang w:val="en-US"/>
        </w:rPr>
        <w:t xml:space="preserve">rom ugly duckling to swan: unexpected identification from cell-selex of an anti-annexin </w:t>
      </w:r>
      <w:r w:rsidR="00CE50DA">
        <w:rPr>
          <w:rFonts w:ascii="Calibri" w:hAnsi="Calibri" w:cs="Arial"/>
          <w:lang w:val="en-US"/>
        </w:rPr>
        <w:t>A</w:t>
      </w:r>
      <w:r w:rsidRPr="004266B7">
        <w:rPr>
          <w:rFonts w:ascii="Calibri" w:hAnsi="Calibri" w:cs="Arial"/>
          <w:lang w:val="en-US"/>
        </w:rPr>
        <w:t>2 aptamer targeting tumors.</w:t>
      </w:r>
      <w:r w:rsidR="00CE50DA">
        <w:rPr>
          <w:rFonts w:ascii="Calibri" w:hAnsi="Calibri" w:cs="Arial"/>
          <w:lang w:val="en-US"/>
        </w:rPr>
        <w:t xml:space="preserve"> </w:t>
      </w:r>
      <w:r w:rsidR="00CE50DA" w:rsidRPr="00CE50DA">
        <w:rPr>
          <w:rFonts w:ascii="Calibri" w:hAnsi="Calibri" w:cs="Arial"/>
          <w:b/>
          <w:lang w:val="en-US"/>
        </w:rPr>
        <w:t>Plos ONE</w:t>
      </w:r>
      <w:r w:rsidR="00CE50DA">
        <w:rPr>
          <w:rFonts w:ascii="Calibri" w:hAnsi="Calibri" w:cs="Arial"/>
          <w:lang w:val="en-US"/>
        </w:rPr>
        <w:t xml:space="preserve"> </w:t>
      </w:r>
      <w:r w:rsidR="00DF516C" w:rsidRPr="00DF516C">
        <w:rPr>
          <w:rFonts w:ascii="Calibri" w:hAnsi="Calibri" w:cs="Arial"/>
          <w:i/>
          <w:iCs/>
        </w:rPr>
        <w:t>9</w:t>
      </w:r>
      <w:r w:rsidR="00DF516C" w:rsidRPr="00DF516C">
        <w:rPr>
          <w:rFonts w:ascii="Calibri" w:hAnsi="Calibri" w:cs="Arial"/>
        </w:rPr>
        <w:t>, e87002.</w:t>
      </w:r>
    </w:p>
    <w:p w14:paraId="66BC926A" w14:textId="685BE834" w:rsidR="004266B7" w:rsidRPr="004266B7" w:rsidRDefault="004266B7" w:rsidP="00BC31E3">
      <w:pPr>
        <w:pStyle w:val="HTMLprformat"/>
        <w:jc w:val="both"/>
        <w:rPr>
          <w:rFonts w:ascii="Calibri" w:hAnsi="Calibri" w:cs="Arial"/>
        </w:rPr>
      </w:pPr>
    </w:p>
    <w:p w14:paraId="2D3BC3C8" w14:textId="77777777" w:rsidR="00813972" w:rsidRPr="00813972" w:rsidRDefault="00813972" w:rsidP="00813972">
      <w:pPr>
        <w:spacing w:line="360" w:lineRule="auto"/>
        <w:jc w:val="both"/>
        <w:rPr>
          <w:rFonts w:asciiTheme="majorHAnsi" w:hAnsiTheme="majorHAnsi" w:cs="Arial"/>
          <w:b/>
          <w:sz w:val="28"/>
        </w:rPr>
      </w:pPr>
      <w:r w:rsidRPr="00813972">
        <w:rPr>
          <w:rFonts w:asciiTheme="majorHAnsi" w:hAnsiTheme="majorHAnsi" w:cs="Arial"/>
          <w:b/>
          <w:sz w:val="28"/>
        </w:rPr>
        <w:t>Patents (5)</w:t>
      </w:r>
    </w:p>
    <w:p w14:paraId="68D2A00D" w14:textId="77777777" w:rsidR="00813972" w:rsidRPr="0049725F" w:rsidRDefault="00813972" w:rsidP="00813972">
      <w:pPr>
        <w:jc w:val="both"/>
        <w:rPr>
          <w:rFonts w:ascii="Calibri" w:hAnsi="Calibri" w:cs="Arial"/>
          <w:sz w:val="20"/>
          <w:szCs w:val="20"/>
        </w:rPr>
      </w:pPr>
      <w:r w:rsidRPr="0049725F">
        <w:rPr>
          <w:rFonts w:ascii="Calibri" w:hAnsi="Calibri" w:cs="Arial"/>
          <w:sz w:val="20"/>
          <w:szCs w:val="20"/>
        </w:rPr>
        <w:t xml:space="preserve">1- Tavitian, B., </w:t>
      </w:r>
      <w:r w:rsidRPr="0049725F">
        <w:rPr>
          <w:rFonts w:ascii="Calibri" w:hAnsi="Calibri" w:cs="Arial"/>
          <w:sz w:val="20"/>
          <w:szCs w:val="20"/>
          <w:u w:val="single"/>
        </w:rPr>
        <w:t>Ducongé, F.</w:t>
      </w:r>
      <w:r w:rsidRPr="0049725F">
        <w:rPr>
          <w:rFonts w:ascii="Calibri" w:hAnsi="Calibri" w:cs="Arial"/>
          <w:sz w:val="20"/>
          <w:szCs w:val="20"/>
        </w:rPr>
        <w:t xml:space="preserve">, Cerchia, L., Franciscis, V. D., et Libri, D. (2004). </w:t>
      </w:r>
      <w:r w:rsidRPr="00342094">
        <w:rPr>
          <w:rFonts w:ascii="Calibri" w:hAnsi="Calibri" w:cs="Arial"/>
          <w:b/>
          <w:i/>
          <w:sz w:val="20"/>
          <w:szCs w:val="20"/>
        </w:rPr>
        <w:t>Aptamères sélectionnés à partir de cellules vivantes tumorales et leurs applications</w:t>
      </w:r>
      <w:r w:rsidRPr="0049725F">
        <w:rPr>
          <w:rFonts w:ascii="Calibri" w:hAnsi="Calibri" w:cs="Arial"/>
          <w:sz w:val="20"/>
          <w:szCs w:val="20"/>
        </w:rPr>
        <w:t>. Brevet déposé le 17 mars. N° 0402774. Extension internationale PCT/FR2005/000656.</w:t>
      </w:r>
    </w:p>
    <w:p w14:paraId="73530F1A" w14:textId="77777777" w:rsidR="00813972" w:rsidRPr="0049725F" w:rsidRDefault="00813972" w:rsidP="00813972">
      <w:pPr>
        <w:jc w:val="both"/>
        <w:rPr>
          <w:rFonts w:ascii="Calibri" w:hAnsi="Calibri" w:cs="Arial"/>
          <w:sz w:val="20"/>
          <w:szCs w:val="20"/>
        </w:rPr>
      </w:pPr>
    </w:p>
    <w:p w14:paraId="5477465D" w14:textId="77777777" w:rsidR="00813972" w:rsidRPr="0049725F" w:rsidRDefault="00813972" w:rsidP="00813972">
      <w:pPr>
        <w:jc w:val="both"/>
        <w:rPr>
          <w:rFonts w:ascii="Calibri" w:hAnsi="Calibri" w:cs="Arial"/>
          <w:sz w:val="20"/>
          <w:szCs w:val="20"/>
        </w:rPr>
      </w:pPr>
      <w:r w:rsidRPr="0049725F">
        <w:rPr>
          <w:rFonts w:ascii="Calibri" w:hAnsi="Calibri" w:cs="Arial"/>
          <w:sz w:val="20"/>
          <w:szCs w:val="20"/>
        </w:rPr>
        <w:t xml:space="preserve">2- Perret, G. and </w:t>
      </w:r>
      <w:r w:rsidRPr="0049725F">
        <w:rPr>
          <w:rFonts w:ascii="Calibri" w:hAnsi="Calibri" w:cs="Arial"/>
          <w:sz w:val="20"/>
          <w:szCs w:val="20"/>
          <w:u w:val="single"/>
        </w:rPr>
        <w:t>Duconge, F.</w:t>
      </w:r>
      <w:r w:rsidRPr="0049725F">
        <w:rPr>
          <w:rFonts w:ascii="Calibri" w:hAnsi="Calibri" w:cs="Arial"/>
          <w:sz w:val="20"/>
          <w:szCs w:val="20"/>
        </w:rPr>
        <w:t xml:space="preserve"> (2009). </w:t>
      </w:r>
      <w:r w:rsidRPr="00342094">
        <w:rPr>
          <w:rFonts w:ascii="Calibri" w:hAnsi="Calibri" w:cs="Arial"/>
          <w:b/>
          <w:i/>
          <w:sz w:val="20"/>
          <w:szCs w:val="20"/>
        </w:rPr>
        <w:t>Acides nucleiques se liant specifiquement au facteur VII/VIIa humain, et utilisations</w:t>
      </w:r>
      <w:r w:rsidRPr="0049725F">
        <w:rPr>
          <w:rFonts w:ascii="Calibri" w:hAnsi="Calibri" w:cs="Arial"/>
          <w:i/>
          <w:sz w:val="20"/>
          <w:szCs w:val="20"/>
        </w:rPr>
        <w:t>.</w:t>
      </w:r>
      <w:r w:rsidRPr="0049725F">
        <w:rPr>
          <w:rFonts w:ascii="Calibri" w:hAnsi="Calibri" w:cs="Arial"/>
          <w:sz w:val="20"/>
          <w:szCs w:val="20"/>
        </w:rPr>
        <w:t xml:space="preserve"> Brevet déposé le 19 février N=°FR2942231. </w:t>
      </w:r>
    </w:p>
    <w:p w14:paraId="7ED3499A" w14:textId="77777777" w:rsidR="00813972" w:rsidRPr="0049725F" w:rsidRDefault="00813972" w:rsidP="00813972">
      <w:pPr>
        <w:jc w:val="both"/>
        <w:rPr>
          <w:rFonts w:ascii="Calibri" w:hAnsi="Calibri" w:cs="Arial"/>
          <w:b/>
          <w:sz w:val="20"/>
          <w:szCs w:val="20"/>
        </w:rPr>
      </w:pPr>
    </w:p>
    <w:p w14:paraId="0ABBA7C3" w14:textId="77777777" w:rsidR="00813972" w:rsidRPr="0049725F" w:rsidRDefault="00813972" w:rsidP="00813972">
      <w:pPr>
        <w:jc w:val="both"/>
        <w:rPr>
          <w:rFonts w:ascii="Calibri" w:hAnsi="Calibri" w:cs="Arial"/>
          <w:sz w:val="20"/>
          <w:szCs w:val="20"/>
        </w:rPr>
      </w:pPr>
      <w:r w:rsidRPr="0049725F">
        <w:rPr>
          <w:rFonts w:ascii="Calibri" w:hAnsi="Calibri" w:cs="Arial"/>
          <w:sz w:val="20"/>
          <w:szCs w:val="20"/>
        </w:rPr>
        <w:t xml:space="preserve">3- Doris, E., </w:t>
      </w:r>
      <w:r w:rsidRPr="0049725F">
        <w:rPr>
          <w:rFonts w:ascii="Calibri" w:hAnsi="Calibri" w:cs="Arial"/>
          <w:sz w:val="20"/>
          <w:szCs w:val="20"/>
          <w:u w:val="single"/>
        </w:rPr>
        <w:t>Ducongé, F.,</w:t>
      </w:r>
      <w:r w:rsidRPr="0049725F">
        <w:rPr>
          <w:rFonts w:ascii="Calibri" w:hAnsi="Calibri" w:cs="Arial"/>
          <w:sz w:val="20"/>
          <w:szCs w:val="20"/>
        </w:rPr>
        <w:t xml:space="preserve"> Gravel, E., Mackiewicz, N. and tavitian, B. (2010). </w:t>
      </w:r>
      <w:r w:rsidRPr="00342094">
        <w:rPr>
          <w:rFonts w:ascii="Calibri" w:hAnsi="Calibri" w:cs="Arial"/>
          <w:b/>
          <w:i/>
          <w:sz w:val="20"/>
          <w:szCs w:val="20"/>
        </w:rPr>
        <w:t>Polymerized micelles for diagnosis</w:t>
      </w:r>
      <w:r w:rsidRPr="0049725F">
        <w:rPr>
          <w:rFonts w:ascii="Calibri" w:hAnsi="Calibri" w:cs="Arial"/>
          <w:sz w:val="20"/>
          <w:szCs w:val="20"/>
        </w:rPr>
        <w:t>. Brevet déposé le 09 aout 2010. n=°EP 10290440.6</w:t>
      </w:r>
    </w:p>
    <w:p w14:paraId="5C1F9F68" w14:textId="77777777" w:rsidR="00813972" w:rsidRPr="0049725F" w:rsidRDefault="00813972" w:rsidP="00813972">
      <w:pPr>
        <w:jc w:val="both"/>
        <w:rPr>
          <w:rFonts w:ascii="Calibri" w:hAnsi="Calibri" w:cs="Arial"/>
          <w:sz w:val="20"/>
          <w:szCs w:val="20"/>
        </w:rPr>
      </w:pPr>
    </w:p>
    <w:p w14:paraId="44334221" w14:textId="77777777" w:rsidR="00813972" w:rsidRPr="0049725F" w:rsidRDefault="00813972" w:rsidP="00813972">
      <w:pPr>
        <w:jc w:val="both"/>
        <w:rPr>
          <w:rFonts w:ascii="Calibri" w:hAnsi="Calibri" w:cs="Arial"/>
          <w:sz w:val="20"/>
          <w:szCs w:val="20"/>
        </w:rPr>
      </w:pPr>
      <w:r w:rsidRPr="0049725F">
        <w:rPr>
          <w:rFonts w:ascii="Calibri" w:hAnsi="Calibri" w:cs="Arial"/>
          <w:sz w:val="20"/>
          <w:szCs w:val="20"/>
        </w:rPr>
        <w:t xml:space="preserve">4- </w:t>
      </w:r>
      <w:r w:rsidRPr="0049725F">
        <w:rPr>
          <w:rFonts w:ascii="Calibri" w:hAnsi="Calibri" w:cs="Arial"/>
          <w:sz w:val="20"/>
          <w:szCs w:val="20"/>
          <w:u w:val="single"/>
        </w:rPr>
        <w:t>Duconge, F.</w:t>
      </w:r>
      <w:r w:rsidRPr="0049725F">
        <w:rPr>
          <w:rFonts w:ascii="Calibri" w:hAnsi="Calibri" w:cs="Arial"/>
          <w:sz w:val="20"/>
          <w:szCs w:val="20"/>
        </w:rPr>
        <w:t xml:space="preserve"> et Cibiel, A. (2010) </w:t>
      </w:r>
      <w:r w:rsidRPr="00342094">
        <w:rPr>
          <w:rFonts w:ascii="Calibri" w:hAnsi="Calibri" w:cs="Arial"/>
          <w:b/>
          <w:i/>
          <w:sz w:val="20"/>
          <w:szCs w:val="20"/>
        </w:rPr>
        <w:t>Ligand spécifique de l'Annexine 2</w:t>
      </w:r>
      <w:r w:rsidRPr="0049725F">
        <w:rPr>
          <w:rFonts w:ascii="Calibri" w:hAnsi="Calibri" w:cs="Arial"/>
          <w:sz w:val="20"/>
          <w:szCs w:val="20"/>
        </w:rPr>
        <w:t>. Brevet déposé le 12 novembre 2010. n° 10 04412.</w:t>
      </w:r>
    </w:p>
    <w:p w14:paraId="7D7CD4A9" w14:textId="77777777" w:rsidR="00813972" w:rsidRPr="0049725F" w:rsidRDefault="00813972" w:rsidP="00813972">
      <w:pPr>
        <w:jc w:val="both"/>
        <w:rPr>
          <w:rFonts w:ascii="Calibri" w:hAnsi="Calibri" w:cs="Arial"/>
          <w:sz w:val="20"/>
          <w:szCs w:val="20"/>
        </w:rPr>
      </w:pPr>
    </w:p>
    <w:p w14:paraId="38F74E15" w14:textId="77777777" w:rsidR="00813972" w:rsidRPr="0049725F" w:rsidRDefault="00813972" w:rsidP="00813972">
      <w:pPr>
        <w:jc w:val="both"/>
        <w:rPr>
          <w:rFonts w:ascii="Calibri" w:hAnsi="Calibri" w:cs="Arial"/>
          <w:sz w:val="20"/>
          <w:szCs w:val="20"/>
        </w:rPr>
      </w:pPr>
      <w:r w:rsidRPr="0049725F">
        <w:rPr>
          <w:rFonts w:ascii="Calibri" w:hAnsi="Calibri" w:cs="Arial"/>
          <w:sz w:val="20"/>
          <w:szCs w:val="20"/>
        </w:rPr>
        <w:t xml:space="preserve">5- </w:t>
      </w:r>
      <w:r w:rsidRPr="0049725F">
        <w:rPr>
          <w:rFonts w:ascii="Calibri" w:hAnsi="Calibri" w:cs="Arial"/>
          <w:sz w:val="20"/>
          <w:szCs w:val="20"/>
          <w:u w:val="single"/>
        </w:rPr>
        <w:t>Duconge, F.</w:t>
      </w:r>
      <w:r w:rsidRPr="0049725F">
        <w:rPr>
          <w:rFonts w:ascii="Calibri" w:hAnsi="Calibri" w:cs="Arial"/>
          <w:sz w:val="20"/>
          <w:szCs w:val="20"/>
        </w:rPr>
        <w:t xml:space="preserve"> et Cibiel, A. (2010) </w:t>
      </w:r>
      <w:r w:rsidRPr="00342094">
        <w:rPr>
          <w:rFonts w:ascii="Calibri" w:hAnsi="Calibri" w:cs="Arial"/>
          <w:b/>
          <w:i/>
          <w:sz w:val="20"/>
          <w:szCs w:val="20"/>
        </w:rPr>
        <w:t>Ligand spécifique de la protéine LAR</w:t>
      </w:r>
      <w:r w:rsidRPr="0049725F">
        <w:rPr>
          <w:rFonts w:ascii="Calibri" w:hAnsi="Calibri" w:cs="Arial"/>
          <w:sz w:val="20"/>
          <w:szCs w:val="20"/>
        </w:rPr>
        <w:t xml:space="preserve">. Brevet déposé le 16 décembre 2010. n° 10 60619 </w:t>
      </w:r>
    </w:p>
    <w:p w14:paraId="027B4AAF" w14:textId="77777777" w:rsidR="00813972" w:rsidRDefault="00813972" w:rsidP="00813972">
      <w:pPr>
        <w:spacing w:line="360" w:lineRule="auto"/>
        <w:jc w:val="both"/>
        <w:rPr>
          <w:rFonts w:ascii="Arial" w:hAnsi="Arial" w:cs="Arial"/>
          <w:b/>
          <w:i/>
          <w:sz w:val="20"/>
        </w:rPr>
      </w:pPr>
    </w:p>
    <w:sectPr w:rsidR="00813972" w:rsidSect="00EB54D9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AD0298" w14:textId="77777777" w:rsidR="00813972" w:rsidRDefault="00813972" w:rsidP="0059303A">
      <w:pPr>
        <w:pStyle w:val="Corpsdetexte"/>
      </w:pPr>
      <w:r>
        <w:separator/>
      </w:r>
    </w:p>
  </w:endnote>
  <w:endnote w:type="continuationSeparator" w:id="0">
    <w:p w14:paraId="0DBC33BA" w14:textId="77777777" w:rsidR="00813972" w:rsidRDefault="00813972" w:rsidP="0059303A">
      <w:pPr>
        <w:pStyle w:val="Corpsdetext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2880E6" w14:textId="77777777" w:rsidR="00813972" w:rsidRDefault="00813972" w:rsidP="0059303A">
      <w:pPr>
        <w:pStyle w:val="Corpsdetexte"/>
      </w:pPr>
      <w:r>
        <w:separator/>
      </w:r>
    </w:p>
  </w:footnote>
  <w:footnote w:type="continuationSeparator" w:id="0">
    <w:p w14:paraId="4BA26F46" w14:textId="77777777" w:rsidR="00813972" w:rsidRDefault="00813972" w:rsidP="0059303A">
      <w:pPr>
        <w:pStyle w:val="Corpsdetext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BB9FD" w14:textId="77777777" w:rsidR="00813972" w:rsidRDefault="00813972" w:rsidP="00DF686F">
    <w:pPr>
      <w:pStyle w:val="En-tt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DD2993">
      <w:rPr>
        <w:rStyle w:val="Numrodepage"/>
        <w:noProof/>
      </w:rPr>
      <w:t>1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7003E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1F4035"/>
    <w:multiLevelType w:val="hybridMultilevel"/>
    <w:tmpl w:val="C3C6F81C"/>
    <w:lvl w:ilvl="0" w:tplc="40CEA0FE">
      <w:numFmt w:val="bullet"/>
      <w:lvlText w:val="-"/>
      <w:lvlJc w:val="left"/>
      <w:pPr>
        <w:ind w:left="1608" w:hanging="900"/>
      </w:pPr>
      <w:rPr>
        <w:rFonts w:ascii="Times" w:eastAsia="Times New Roman" w:hAnsi="Time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4FF47A4"/>
    <w:multiLevelType w:val="hybridMultilevel"/>
    <w:tmpl w:val="270A014C"/>
    <w:lvl w:ilvl="0" w:tplc="22BE2D02">
      <w:start w:val="20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B11BE3"/>
    <w:multiLevelType w:val="hybridMultilevel"/>
    <w:tmpl w:val="7952A8E4"/>
    <w:lvl w:ilvl="0" w:tplc="D460DFDC">
      <w:start w:val="5"/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E3F3DE8"/>
    <w:multiLevelType w:val="hybridMultilevel"/>
    <w:tmpl w:val="41EA07DA"/>
    <w:lvl w:ilvl="0" w:tplc="4290068A">
      <w:start w:val="5"/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1A36B1A"/>
    <w:multiLevelType w:val="hybridMultilevel"/>
    <w:tmpl w:val="409277DE"/>
    <w:lvl w:ilvl="0" w:tplc="86FE3C5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723BA6"/>
    <w:multiLevelType w:val="hybridMultilevel"/>
    <w:tmpl w:val="E7565E7A"/>
    <w:lvl w:ilvl="0" w:tplc="EAEE4C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1E72AD"/>
    <w:multiLevelType w:val="hybridMultilevel"/>
    <w:tmpl w:val="1B74A32E"/>
    <w:lvl w:ilvl="0" w:tplc="0540C11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7F8"/>
    <w:rsid w:val="00001D15"/>
    <w:rsid w:val="000034C6"/>
    <w:rsid w:val="0000592F"/>
    <w:rsid w:val="000160BA"/>
    <w:rsid w:val="00017A04"/>
    <w:rsid w:val="0002332D"/>
    <w:rsid w:val="00024A8B"/>
    <w:rsid w:val="000262A9"/>
    <w:rsid w:val="000361B7"/>
    <w:rsid w:val="0003689C"/>
    <w:rsid w:val="000550D2"/>
    <w:rsid w:val="00063CB7"/>
    <w:rsid w:val="00070CAB"/>
    <w:rsid w:val="000716CD"/>
    <w:rsid w:val="00080580"/>
    <w:rsid w:val="000958C2"/>
    <w:rsid w:val="0009717B"/>
    <w:rsid w:val="000A4C0D"/>
    <w:rsid w:val="000A7A66"/>
    <w:rsid w:val="000B3DAF"/>
    <w:rsid w:val="000C40B0"/>
    <w:rsid w:val="000C7CA6"/>
    <w:rsid w:val="000D0C06"/>
    <w:rsid w:val="000D3D69"/>
    <w:rsid w:val="000D6603"/>
    <w:rsid w:val="000E00C6"/>
    <w:rsid w:val="000E7491"/>
    <w:rsid w:val="00100AEC"/>
    <w:rsid w:val="0012641B"/>
    <w:rsid w:val="00127C03"/>
    <w:rsid w:val="00141FCA"/>
    <w:rsid w:val="00142DE7"/>
    <w:rsid w:val="00144974"/>
    <w:rsid w:val="00150B98"/>
    <w:rsid w:val="0015179B"/>
    <w:rsid w:val="00152672"/>
    <w:rsid w:val="0015335D"/>
    <w:rsid w:val="001660BF"/>
    <w:rsid w:val="001706B8"/>
    <w:rsid w:val="00193F74"/>
    <w:rsid w:val="001A129D"/>
    <w:rsid w:val="001A3801"/>
    <w:rsid w:val="001A76F6"/>
    <w:rsid w:val="001B3284"/>
    <w:rsid w:val="001B7E6E"/>
    <w:rsid w:val="001C4E46"/>
    <w:rsid w:val="001E418A"/>
    <w:rsid w:val="0020113E"/>
    <w:rsid w:val="00205A4D"/>
    <w:rsid w:val="00205B78"/>
    <w:rsid w:val="00205D64"/>
    <w:rsid w:val="00213157"/>
    <w:rsid w:val="00216AB2"/>
    <w:rsid w:val="00225134"/>
    <w:rsid w:val="00242684"/>
    <w:rsid w:val="00242D43"/>
    <w:rsid w:val="00250948"/>
    <w:rsid w:val="00265927"/>
    <w:rsid w:val="00291245"/>
    <w:rsid w:val="002A1880"/>
    <w:rsid w:val="002A5C64"/>
    <w:rsid w:val="002C4D6A"/>
    <w:rsid w:val="002E69FB"/>
    <w:rsid w:val="002F3733"/>
    <w:rsid w:val="003028AF"/>
    <w:rsid w:val="003152B1"/>
    <w:rsid w:val="00326937"/>
    <w:rsid w:val="00330C6F"/>
    <w:rsid w:val="003331CE"/>
    <w:rsid w:val="00333F51"/>
    <w:rsid w:val="003355FD"/>
    <w:rsid w:val="00336A1C"/>
    <w:rsid w:val="00340132"/>
    <w:rsid w:val="00341421"/>
    <w:rsid w:val="00342094"/>
    <w:rsid w:val="00344FCF"/>
    <w:rsid w:val="00346AD9"/>
    <w:rsid w:val="003664AE"/>
    <w:rsid w:val="003714CD"/>
    <w:rsid w:val="003721EF"/>
    <w:rsid w:val="00373262"/>
    <w:rsid w:val="003733A4"/>
    <w:rsid w:val="00380DCB"/>
    <w:rsid w:val="0038753E"/>
    <w:rsid w:val="003A0509"/>
    <w:rsid w:val="003B1CFA"/>
    <w:rsid w:val="003B2319"/>
    <w:rsid w:val="003B562A"/>
    <w:rsid w:val="003C2317"/>
    <w:rsid w:val="003C25F3"/>
    <w:rsid w:val="003C68A4"/>
    <w:rsid w:val="003E6595"/>
    <w:rsid w:val="003F0F41"/>
    <w:rsid w:val="003F11D3"/>
    <w:rsid w:val="003F6E12"/>
    <w:rsid w:val="004047BC"/>
    <w:rsid w:val="00406D8B"/>
    <w:rsid w:val="00413A40"/>
    <w:rsid w:val="0041483A"/>
    <w:rsid w:val="00422A6B"/>
    <w:rsid w:val="004266B7"/>
    <w:rsid w:val="00426929"/>
    <w:rsid w:val="004413B1"/>
    <w:rsid w:val="00447D68"/>
    <w:rsid w:val="00453C03"/>
    <w:rsid w:val="00462E8A"/>
    <w:rsid w:val="00464975"/>
    <w:rsid w:val="0047479C"/>
    <w:rsid w:val="00480B29"/>
    <w:rsid w:val="00485CCC"/>
    <w:rsid w:val="0048744A"/>
    <w:rsid w:val="004960B1"/>
    <w:rsid w:val="0049725F"/>
    <w:rsid w:val="004A50D7"/>
    <w:rsid w:val="004B3D56"/>
    <w:rsid w:val="004B6FF7"/>
    <w:rsid w:val="004C279C"/>
    <w:rsid w:val="004C43C7"/>
    <w:rsid w:val="004C5BF4"/>
    <w:rsid w:val="004C609D"/>
    <w:rsid w:val="004D1333"/>
    <w:rsid w:val="004E247B"/>
    <w:rsid w:val="004E2A06"/>
    <w:rsid w:val="004E35F6"/>
    <w:rsid w:val="004F628E"/>
    <w:rsid w:val="005032AF"/>
    <w:rsid w:val="005064D2"/>
    <w:rsid w:val="00511A03"/>
    <w:rsid w:val="00512E1C"/>
    <w:rsid w:val="00512FDC"/>
    <w:rsid w:val="00514E5D"/>
    <w:rsid w:val="00525D69"/>
    <w:rsid w:val="00526D39"/>
    <w:rsid w:val="005349D1"/>
    <w:rsid w:val="00544256"/>
    <w:rsid w:val="005524AD"/>
    <w:rsid w:val="00560A44"/>
    <w:rsid w:val="00563080"/>
    <w:rsid w:val="005642DC"/>
    <w:rsid w:val="00574835"/>
    <w:rsid w:val="0059303A"/>
    <w:rsid w:val="005A53B7"/>
    <w:rsid w:val="005B3FDD"/>
    <w:rsid w:val="005C0C0B"/>
    <w:rsid w:val="005D42C5"/>
    <w:rsid w:val="005E585E"/>
    <w:rsid w:val="005F3700"/>
    <w:rsid w:val="00602E80"/>
    <w:rsid w:val="00614504"/>
    <w:rsid w:val="006278BC"/>
    <w:rsid w:val="0063364C"/>
    <w:rsid w:val="00633BFE"/>
    <w:rsid w:val="00640724"/>
    <w:rsid w:val="00642796"/>
    <w:rsid w:val="006566CD"/>
    <w:rsid w:val="00656C0F"/>
    <w:rsid w:val="00657093"/>
    <w:rsid w:val="00675C25"/>
    <w:rsid w:val="00682493"/>
    <w:rsid w:val="00683936"/>
    <w:rsid w:val="006944DD"/>
    <w:rsid w:val="006A618B"/>
    <w:rsid w:val="006B3C86"/>
    <w:rsid w:val="006D2E23"/>
    <w:rsid w:val="006D354C"/>
    <w:rsid w:val="006D716B"/>
    <w:rsid w:val="006E0021"/>
    <w:rsid w:val="006E22DA"/>
    <w:rsid w:val="006F1663"/>
    <w:rsid w:val="006F3218"/>
    <w:rsid w:val="00700ABB"/>
    <w:rsid w:val="00704F3A"/>
    <w:rsid w:val="00745EEC"/>
    <w:rsid w:val="00747A12"/>
    <w:rsid w:val="00751B8A"/>
    <w:rsid w:val="007621C9"/>
    <w:rsid w:val="00783A77"/>
    <w:rsid w:val="0078463A"/>
    <w:rsid w:val="007A4B2F"/>
    <w:rsid w:val="007C400C"/>
    <w:rsid w:val="007E57AC"/>
    <w:rsid w:val="007F4DA5"/>
    <w:rsid w:val="00802EB6"/>
    <w:rsid w:val="00807771"/>
    <w:rsid w:val="00813972"/>
    <w:rsid w:val="008175D6"/>
    <w:rsid w:val="00822034"/>
    <w:rsid w:val="008277F8"/>
    <w:rsid w:val="00830DC4"/>
    <w:rsid w:val="00831095"/>
    <w:rsid w:val="00831312"/>
    <w:rsid w:val="00832FA2"/>
    <w:rsid w:val="00840B5A"/>
    <w:rsid w:val="00863629"/>
    <w:rsid w:val="008726F6"/>
    <w:rsid w:val="00894132"/>
    <w:rsid w:val="008A17D9"/>
    <w:rsid w:val="008A6A46"/>
    <w:rsid w:val="008B3EFA"/>
    <w:rsid w:val="008D097C"/>
    <w:rsid w:val="008D5C79"/>
    <w:rsid w:val="008E4FC0"/>
    <w:rsid w:val="008E7D69"/>
    <w:rsid w:val="008F61B2"/>
    <w:rsid w:val="008F6892"/>
    <w:rsid w:val="00900F3D"/>
    <w:rsid w:val="00904A5F"/>
    <w:rsid w:val="00907F19"/>
    <w:rsid w:val="00915B0D"/>
    <w:rsid w:val="00916774"/>
    <w:rsid w:val="0092739D"/>
    <w:rsid w:val="00931E6B"/>
    <w:rsid w:val="0093599D"/>
    <w:rsid w:val="009439B1"/>
    <w:rsid w:val="00954C2F"/>
    <w:rsid w:val="00971E9E"/>
    <w:rsid w:val="00985AE8"/>
    <w:rsid w:val="009A2D89"/>
    <w:rsid w:val="009A5AB9"/>
    <w:rsid w:val="009B7573"/>
    <w:rsid w:val="009C0FB0"/>
    <w:rsid w:val="009D4695"/>
    <w:rsid w:val="009E1F20"/>
    <w:rsid w:val="009E58E4"/>
    <w:rsid w:val="009E64AF"/>
    <w:rsid w:val="009F1CF6"/>
    <w:rsid w:val="00A100C9"/>
    <w:rsid w:val="00A158EF"/>
    <w:rsid w:val="00A16953"/>
    <w:rsid w:val="00A170AA"/>
    <w:rsid w:val="00A230C4"/>
    <w:rsid w:val="00A2552F"/>
    <w:rsid w:val="00A32D0B"/>
    <w:rsid w:val="00A32EB1"/>
    <w:rsid w:val="00A35E1D"/>
    <w:rsid w:val="00A50CEA"/>
    <w:rsid w:val="00A51814"/>
    <w:rsid w:val="00A63F12"/>
    <w:rsid w:val="00A734B1"/>
    <w:rsid w:val="00A74262"/>
    <w:rsid w:val="00A87339"/>
    <w:rsid w:val="00AA0FC8"/>
    <w:rsid w:val="00AA42CE"/>
    <w:rsid w:val="00AB1B57"/>
    <w:rsid w:val="00AC14DA"/>
    <w:rsid w:val="00AC2D46"/>
    <w:rsid w:val="00AD5484"/>
    <w:rsid w:val="00AD7786"/>
    <w:rsid w:val="00AE1A6A"/>
    <w:rsid w:val="00B052DB"/>
    <w:rsid w:val="00B0759D"/>
    <w:rsid w:val="00B209BC"/>
    <w:rsid w:val="00B210D4"/>
    <w:rsid w:val="00B23562"/>
    <w:rsid w:val="00B26F03"/>
    <w:rsid w:val="00B4367D"/>
    <w:rsid w:val="00B43E9D"/>
    <w:rsid w:val="00B46B59"/>
    <w:rsid w:val="00B5761C"/>
    <w:rsid w:val="00B605BE"/>
    <w:rsid w:val="00B80A6C"/>
    <w:rsid w:val="00B83515"/>
    <w:rsid w:val="00B90B3C"/>
    <w:rsid w:val="00B97553"/>
    <w:rsid w:val="00BA2A73"/>
    <w:rsid w:val="00BB18DB"/>
    <w:rsid w:val="00BB2A46"/>
    <w:rsid w:val="00BB77A3"/>
    <w:rsid w:val="00BC31E3"/>
    <w:rsid w:val="00BC5E75"/>
    <w:rsid w:val="00BC678B"/>
    <w:rsid w:val="00BC6DD8"/>
    <w:rsid w:val="00BD0281"/>
    <w:rsid w:val="00BE28E8"/>
    <w:rsid w:val="00C03C41"/>
    <w:rsid w:val="00C0669F"/>
    <w:rsid w:val="00C11899"/>
    <w:rsid w:val="00C147C2"/>
    <w:rsid w:val="00C15B3A"/>
    <w:rsid w:val="00C23A49"/>
    <w:rsid w:val="00C258D3"/>
    <w:rsid w:val="00C26B0F"/>
    <w:rsid w:val="00C35FF3"/>
    <w:rsid w:val="00C3753D"/>
    <w:rsid w:val="00C40107"/>
    <w:rsid w:val="00C41494"/>
    <w:rsid w:val="00C42C15"/>
    <w:rsid w:val="00C45D20"/>
    <w:rsid w:val="00C478A5"/>
    <w:rsid w:val="00C5117A"/>
    <w:rsid w:val="00C51A5A"/>
    <w:rsid w:val="00C55887"/>
    <w:rsid w:val="00C82162"/>
    <w:rsid w:val="00C92417"/>
    <w:rsid w:val="00CA388D"/>
    <w:rsid w:val="00CA594A"/>
    <w:rsid w:val="00CA624A"/>
    <w:rsid w:val="00CA7C24"/>
    <w:rsid w:val="00CB482D"/>
    <w:rsid w:val="00CB5D27"/>
    <w:rsid w:val="00CC72CB"/>
    <w:rsid w:val="00CE350A"/>
    <w:rsid w:val="00CE50DA"/>
    <w:rsid w:val="00CE7446"/>
    <w:rsid w:val="00D004EC"/>
    <w:rsid w:val="00D04EF2"/>
    <w:rsid w:val="00D14263"/>
    <w:rsid w:val="00D17ACD"/>
    <w:rsid w:val="00D3004F"/>
    <w:rsid w:val="00D31796"/>
    <w:rsid w:val="00D31E76"/>
    <w:rsid w:val="00D3240A"/>
    <w:rsid w:val="00D32E5F"/>
    <w:rsid w:val="00D36A4B"/>
    <w:rsid w:val="00D44E4E"/>
    <w:rsid w:val="00D45F91"/>
    <w:rsid w:val="00D50320"/>
    <w:rsid w:val="00D51347"/>
    <w:rsid w:val="00D5498C"/>
    <w:rsid w:val="00D67888"/>
    <w:rsid w:val="00D740BA"/>
    <w:rsid w:val="00D930A5"/>
    <w:rsid w:val="00D938C8"/>
    <w:rsid w:val="00D965A6"/>
    <w:rsid w:val="00DA4FC2"/>
    <w:rsid w:val="00DA5097"/>
    <w:rsid w:val="00DB206E"/>
    <w:rsid w:val="00DB35C5"/>
    <w:rsid w:val="00DD2993"/>
    <w:rsid w:val="00DD3C49"/>
    <w:rsid w:val="00DF516C"/>
    <w:rsid w:val="00DF686F"/>
    <w:rsid w:val="00E00765"/>
    <w:rsid w:val="00E03805"/>
    <w:rsid w:val="00E067F1"/>
    <w:rsid w:val="00E31E3B"/>
    <w:rsid w:val="00E3362A"/>
    <w:rsid w:val="00E376A5"/>
    <w:rsid w:val="00E424BC"/>
    <w:rsid w:val="00E462C3"/>
    <w:rsid w:val="00E5445D"/>
    <w:rsid w:val="00E550F8"/>
    <w:rsid w:val="00E603E6"/>
    <w:rsid w:val="00E70399"/>
    <w:rsid w:val="00E84BAB"/>
    <w:rsid w:val="00E85BDB"/>
    <w:rsid w:val="00E8638A"/>
    <w:rsid w:val="00EA520D"/>
    <w:rsid w:val="00EB1639"/>
    <w:rsid w:val="00EB4C58"/>
    <w:rsid w:val="00EB54D9"/>
    <w:rsid w:val="00EB622D"/>
    <w:rsid w:val="00ED6E36"/>
    <w:rsid w:val="00EE6E68"/>
    <w:rsid w:val="00F013AB"/>
    <w:rsid w:val="00F0384B"/>
    <w:rsid w:val="00F05A90"/>
    <w:rsid w:val="00F25D8E"/>
    <w:rsid w:val="00F37E47"/>
    <w:rsid w:val="00F43F1E"/>
    <w:rsid w:val="00F442CC"/>
    <w:rsid w:val="00F51020"/>
    <w:rsid w:val="00F60D01"/>
    <w:rsid w:val="00F721F3"/>
    <w:rsid w:val="00F9132F"/>
    <w:rsid w:val="00FA339F"/>
    <w:rsid w:val="00FA6C52"/>
    <w:rsid w:val="00FB7296"/>
    <w:rsid w:val="00FC0090"/>
    <w:rsid w:val="00FC3546"/>
    <w:rsid w:val="00FC5851"/>
    <w:rsid w:val="00FD080E"/>
    <w:rsid w:val="00FD14B5"/>
    <w:rsid w:val="00FE0E6D"/>
    <w:rsid w:val="00FE30BA"/>
    <w:rsid w:val="00FF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51FC2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semiHidden/>
    <w:unhideWhenUsed/>
    <w:qFormat/>
    <w:rsid w:val="00CB5D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rsid w:val="008277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rsid w:val="007E57AC"/>
    <w:pPr>
      <w:spacing w:after="120"/>
    </w:pPr>
    <w:rPr>
      <w:lang w:eastAsia="en-US"/>
    </w:rPr>
  </w:style>
  <w:style w:type="paragraph" w:customStyle="1" w:styleId="spip">
    <w:name w:val="spip"/>
    <w:basedOn w:val="Normal"/>
    <w:rsid w:val="00A32EB1"/>
    <w:pPr>
      <w:spacing w:before="100" w:beforeAutospacing="1" w:after="100" w:afterAutospacing="1"/>
    </w:pPr>
  </w:style>
  <w:style w:type="character" w:styleId="lev">
    <w:name w:val="Strong"/>
    <w:qFormat/>
    <w:rsid w:val="00A32EB1"/>
    <w:rPr>
      <w:b/>
      <w:bCs/>
    </w:rPr>
  </w:style>
  <w:style w:type="paragraph" w:styleId="En-tte">
    <w:name w:val="header"/>
    <w:basedOn w:val="Normal"/>
    <w:rsid w:val="00DF686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F686F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DF686F"/>
  </w:style>
  <w:style w:type="paragraph" w:styleId="HTMLprformat">
    <w:name w:val="HTML Preformatted"/>
    <w:basedOn w:val="Normal"/>
    <w:rsid w:val="00C558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journalname">
    <w:name w:val="journalname"/>
    <w:rsid w:val="00C55887"/>
    <w:rPr>
      <w:rFonts w:cs="Times New Roman"/>
    </w:rPr>
  </w:style>
  <w:style w:type="character" w:customStyle="1" w:styleId="longtext">
    <w:name w:val="long_text"/>
    <w:uiPriority w:val="99"/>
    <w:rsid w:val="00642796"/>
    <w:rPr>
      <w:rFonts w:cs="Times New Roman"/>
    </w:rPr>
  </w:style>
  <w:style w:type="paragraph" w:customStyle="1" w:styleId="Style4FD">
    <w:name w:val="Style4FD"/>
    <w:basedOn w:val="Normal"/>
    <w:next w:val="Normal"/>
    <w:autoRedefine/>
    <w:uiPriority w:val="99"/>
    <w:rsid w:val="00642796"/>
    <w:pPr>
      <w:keepNext/>
      <w:tabs>
        <w:tab w:val="num" w:pos="864"/>
      </w:tabs>
      <w:spacing w:before="240" w:after="60" w:line="360" w:lineRule="auto"/>
      <w:ind w:left="864" w:hanging="864"/>
      <w:outlineLvl w:val="2"/>
    </w:pPr>
    <w:rPr>
      <w:rFonts w:cs="Arial"/>
      <w:bCs/>
      <w:i/>
      <w:u w:val="single"/>
    </w:rPr>
  </w:style>
  <w:style w:type="paragraph" w:styleId="Index1">
    <w:name w:val="index 1"/>
    <w:basedOn w:val="Normal"/>
    <w:next w:val="Normal"/>
    <w:autoRedefine/>
    <w:uiPriority w:val="99"/>
    <w:rsid w:val="00FD14B5"/>
    <w:pPr>
      <w:tabs>
        <w:tab w:val="right" w:leader="dot" w:pos="9062"/>
      </w:tabs>
      <w:ind w:left="240" w:hanging="240"/>
      <w:jc w:val="center"/>
    </w:pPr>
    <w:rPr>
      <w:rFonts w:ascii="Calibri" w:hAnsi="Calibri"/>
      <w:noProof/>
    </w:rPr>
  </w:style>
  <w:style w:type="paragraph" w:styleId="Textedebulles">
    <w:name w:val="Balloon Text"/>
    <w:basedOn w:val="Normal"/>
    <w:link w:val="TextedebullesCar"/>
    <w:rsid w:val="0000592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00592F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semiHidden/>
    <w:rsid w:val="00CB5D2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NormalWeb">
    <w:name w:val="Normal (Web)"/>
    <w:basedOn w:val="Normal"/>
    <w:rsid w:val="001B328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semiHidden/>
    <w:unhideWhenUsed/>
    <w:qFormat/>
    <w:rsid w:val="00CB5D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rsid w:val="008277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rsid w:val="007E57AC"/>
    <w:pPr>
      <w:spacing w:after="120"/>
    </w:pPr>
    <w:rPr>
      <w:lang w:eastAsia="en-US"/>
    </w:rPr>
  </w:style>
  <w:style w:type="paragraph" w:customStyle="1" w:styleId="spip">
    <w:name w:val="spip"/>
    <w:basedOn w:val="Normal"/>
    <w:rsid w:val="00A32EB1"/>
    <w:pPr>
      <w:spacing w:before="100" w:beforeAutospacing="1" w:after="100" w:afterAutospacing="1"/>
    </w:pPr>
  </w:style>
  <w:style w:type="character" w:styleId="lev">
    <w:name w:val="Strong"/>
    <w:qFormat/>
    <w:rsid w:val="00A32EB1"/>
    <w:rPr>
      <w:b/>
      <w:bCs/>
    </w:rPr>
  </w:style>
  <w:style w:type="paragraph" w:styleId="En-tte">
    <w:name w:val="header"/>
    <w:basedOn w:val="Normal"/>
    <w:rsid w:val="00DF686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F686F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DF686F"/>
  </w:style>
  <w:style w:type="paragraph" w:styleId="HTMLprformat">
    <w:name w:val="HTML Preformatted"/>
    <w:basedOn w:val="Normal"/>
    <w:rsid w:val="00C558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journalname">
    <w:name w:val="journalname"/>
    <w:rsid w:val="00C55887"/>
    <w:rPr>
      <w:rFonts w:cs="Times New Roman"/>
    </w:rPr>
  </w:style>
  <w:style w:type="character" w:customStyle="1" w:styleId="longtext">
    <w:name w:val="long_text"/>
    <w:uiPriority w:val="99"/>
    <w:rsid w:val="00642796"/>
    <w:rPr>
      <w:rFonts w:cs="Times New Roman"/>
    </w:rPr>
  </w:style>
  <w:style w:type="paragraph" w:customStyle="1" w:styleId="Style4FD">
    <w:name w:val="Style4FD"/>
    <w:basedOn w:val="Normal"/>
    <w:next w:val="Normal"/>
    <w:autoRedefine/>
    <w:uiPriority w:val="99"/>
    <w:rsid w:val="00642796"/>
    <w:pPr>
      <w:keepNext/>
      <w:tabs>
        <w:tab w:val="num" w:pos="864"/>
      </w:tabs>
      <w:spacing w:before="240" w:after="60" w:line="360" w:lineRule="auto"/>
      <w:ind w:left="864" w:hanging="864"/>
      <w:outlineLvl w:val="2"/>
    </w:pPr>
    <w:rPr>
      <w:rFonts w:cs="Arial"/>
      <w:bCs/>
      <w:i/>
      <w:u w:val="single"/>
    </w:rPr>
  </w:style>
  <w:style w:type="paragraph" w:styleId="Index1">
    <w:name w:val="index 1"/>
    <w:basedOn w:val="Normal"/>
    <w:next w:val="Normal"/>
    <w:autoRedefine/>
    <w:uiPriority w:val="99"/>
    <w:rsid w:val="00FD14B5"/>
    <w:pPr>
      <w:tabs>
        <w:tab w:val="right" w:leader="dot" w:pos="9062"/>
      </w:tabs>
      <w:ind w:left="240" w:hanging="240"/>
      <w:jc w:val="center"/>
    </w:pPr>
    <w:rPr>
      <w:rFonts w:ascii="Calibri" w:hAnsi="Calibri"/>
      <w:noProof/>
    </w:rPr>
  </w:style>
  <w:style w:type="paragraph" w:styleId="Textedebulles">
    <w:name w:val="Balloon Text"/>
    <w:basedOn w:val="Normal"/>
    <w:link w:val="TextedebullesCar"/>
    <w:rsid w:val="0000592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00592F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semiHidden/>
    <w:rsid w:val="00CB5D2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NormalWeb">
    <w:name w:val="Normal (Web)"/>
    <w:basedOn w:val="Normal"/>
    <w:rsid w:val="001B3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2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C65E6-FED3-3E49-9372-8E192641B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1070</Words>
  <Characters>5890</Characters>
  <Application>Microsoft Macintosh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1- Curriculum vitae (2pages)</vt:lpstr>
    </vt:vector>
  </TitlesOfParts>
  <Company>CEA</Company>
  <LinksUpToDate>false</LinksUpToDate>
  <CharactersWithSpaces>6947</CharactersWithSpaces>
  <SharedDoc>false</SharedDoc>
  <HLinks>
    <vt:vector size="6" baseType="variant">
      <vt:variant>
        <vt:i4>3604486</vt:i4>
      </vt:variant>
      <vt:variant>
        <vt:i4>2049</vt:i4>
      </vt:variant>
      <vt:variant>
        <vt:i4>1025</vt:i4>
      </vt:variant>
      <vt:variant>
        <vt:i4>1</vt:i4>
      </vt:variant>
      <vt:variant>
        <vt:lpwstr>IMG_0386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 Curriculum vitae (2pages)</dc:title>
  <dc:subject/>
  <dc:creator>Sathish </dc:creator>
  <cp:keywords/>
  <dc:description/>
  <cp:lastModifiedBy>Frédéric Ducongé</cp:lastModifiedBy>
  <cp:revision>5</cp:revision>
  <cp:lastPrinted>2011-03-24T10:53:00Z</cp:lastPrinted>
  <dcterms:created xsi:type="dcterms:W3CDTF">2014-03-20T14:49:00Z</dcterms:created>
  <dcterms:modified xsi:type="dcterms:W3CDTF">2014-03-20T14:52:00Z</dcterms:modified>
</cp:coreProperties>
</file>