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53876" w14:textId="23E3BB65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3B2">
        <w:rPr>
          <w:rFonts w:ascii="Times New Roman" w:hAnsi="Times New Roman" w:cs="Times New Roman"/>
          <w:b/>
          <w:bCs/>
          <w:sz w:val="24"/>
          <w:szCs w:val="24"/>
        </w:rPr>
        <w:t>List of publications</w:t>
      </w:r>
    </w:p>
    <w:p w14:paraId="096751DD" w14:textId="77777777" w:rsidR="003542D8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/>
        <w:ind w:right="116" w:hanging="357"/>
        <w:jc w:val="both"/>
        <w:rPr>
          <w:i/>
          <w:iCs/>
          <w:sz w:val="24"/>
          <w:szCs w:val="24"/>
        </w:rPr>
      </w:pPr>
      <w:r w:rsidRPr="002F33B2">
        <w:rPr>
          <w:sz w:val="24"/>
          <w:szCs w:val="24"/>
        </w:rPr>
        <w:t xml:space="preserve">Saleem, M.A.*, M. Tahir, T. </w:t>
      </w:r>
      <w:proofErr w:type="gramStart"/>
      <w:r w:rsidRPr="002F33B2">
        <w:rPr>
          <w:sz w:val="24"/>
          <w:szCs w:val="24"/>
        </w:rPr>
        <w:t>Ahmad</w:t>
      </w:r>
      <w:proofErr w:type="gramEnd"/>
      <w:r w:rsidRPr="002F33B2">
        <w:rPr>
          <w:sz w:val="24"/>
          <w:szCs w:val="24"/>
        </w:rPr>
        <w:t xml:space="preserve"> and M.N. Tahir. 2020. Foliar application of boron improved the yield and quality of wheat (</w:t>
      </w:r>
      <w:r w:rsidRPr="002F33B2">
        <w:rPr>
          <w:i/>
          <w:iCs/>
          <w:sz w:val="24"/>
          <w:szCs w:val="24"/>
        </w:rPr>
        <w:t>Triticum aestivum</w:t>
      </w:r>
      <w:r w:rsidRPr="002F33B2">
        <w:rPr>
          <w:sz w:val="24"/>
          <w:szCs w:val="24"/>
        </w:rPr>
        <w:t xml:space="preserve"> L.) in a calcareous field. </w:t>
      </w:r>
      <w:r w:rsidRPr="002F33B2">
        <w:rPr>
          <w:i/>
          <w:iCs/>
          <w:sz w:val="24"/>
          <w:szCs w:val="24"/>
        </w:rPr>
        <w:t>Soil and Environment</w:t>
      </w:r>
      <w:r w:rsidRPr="002F33B2">
        <w:rPr>
          <w:sz w:val="24"/>
          <w:szCs w:val="24"/>
        </w:rPr>
        <w:t xml:space="preserve"> 39(1): 59-66. </w:t>
      </w:r>
      <w:r w:rsidRPr="002F33B2">
        <w:rPr>
          <w:i/>
          <w:iCs/>
          <w:sz w:val="24"/>
          <w:szCs w:val="24"/>
        </w:rPr>
        <w:t>DOI:10.25252/SE/20/132047</w:t>
      </w:r>
    </w:p>
    <w:p w14:paraId="5BBC4547" w14:textId="77777777" w:rsidR="003542D8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/>
        <w:ind w:right="116" w:hanging="357"/>
        <w:jc w:val="both"/>
        <w:rPr>
          <w:sz w:val="24"/>
          <w:szCs w:val="24"/>
        </w:rPr>
      </w:pPr>
      <w:r w:rsidRPr="002F33B2">
        <w:rPr>
          <w:sz w:val="24"/>
          <w:szCs w:val="24"/>
        </w:rPr>
        <w:t xml:space="preserve">Azam, A., I. Saeed, M.A. Saleem* and T. Azam. 2020. Evaluation of anthelmintic activity of different fractions of </w:t>
      </w:r>
      <w:r w:rsidRPr="002F33B2">
        <w:rPr>
          <w:i/>
          <w:iCs/>
          <w:sz w:val="24"/>
          <w:szCs w:val="24"/>
        </w:rPr>
        <w:t xml:space="preserve">Syzygium cumini </w:t>
      </w:r>
      <w:r w:rsidRPr="002F33B2">
        <w:rPr>
          <w:sz w:val="24"/>
          <w:szCs w:val="24"/>
        </w:rPr>
        <w:t xml:space="preserve">leaves. </w:t>
      </w:r>
      <w:r w:rsidRPr="002F33B2">
        <w:rPr>
          <w:i/>
          <w:iCs/>
          <w:sz w:val="24"/>
          <w:szCs w:val="24"/>
        </w:rPr>
        <w:t>FUUAST Journal of Biology</w:t>
      </w:r>
      <w:r w:rsidRPr="002F33B2">
        <w:rPr>
          <w:sz w:val="24"/>
          <w:szCs w:val="24"/>
        </w:rPr>
        <w:t xml:space="preserve">. 10 (1): 51-55. </w:t>
      </w:r>
    </w:p>
    <w:p w14:paraId="60BAA542" w14:textId="77777777" w:rsidR="003542D8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 w:line="237" w:lineRule="auto"/>
        <w:ind w:right="117" w:hanging="357"/>
        <w:jc w:val="both"/>
        <w:rPr>
          <w:sz w:val="24"/>
          <w:szCs w:val="24"/>
        </w:rPr>
      </w:pPr>
      <w:r w:rsidRPr="002F33B2">
        <w:rPr>
          <w:sz w:val="24"/>
          <w:szCs w:val="24"/>
        </w:rPr>
        <w:t>Akram I, M. Tahir, M.A. Saleem*, T. Ahmad, M. Naz and M. Ahmad. 2020. Seed</w:t>
      </w:r>
      <w:r w:rsidRPr="002F33B2">
        <w:rPr>
          <w:spacing w:val="-5"/>
          <w:sz w:val="24"/>
          <w:szCs w:val="24"/>
        </w:rPr>
        <w:t xml:space="preserve"> </w:t>
      </w:r>
      <w:r w:rsidRPr="002F33B2">
        <w:rPr>
          <w:sz w:val="24"/>
          <w:szCs w:val="24"/>
        </w:rPr>
        <w:t>priming</w:t>
      </w:r>
      <w:r w:rsidRPr="002F33B2">
        <w:rPr>
          <w:spacing w:val="-8"/>
          <w:sz w:val="24"/>
          <w:szCs w:val="24"/>
        </w:rPr>
        <w:t xml:space="preserve"> </w:t>
      </w:r>
      <w:r w:rsidRPr="002F33B2">
        <w:rPr>
          <w:sz w:val="24"/>
          <w:szCs w:val="24"/>
        </w:rPr>
        <w:t>effects</w:t>
      </w:r>
      <w:r w:rsidRPr="002F33B2">
        <w:rPr>
          <w:spacing w:val="-2"/>
          <w:sz w:val="24"/>
          <w:szCs w:val="24"/>
        </w:rPr>
        <w:t xml:space="preserve"> </w:t>
      </w:r>
      <w:r w:rsidRPr="002F33B2">
        <w:rPr>
          <w:sz w:val="24"/>
          <w:szCs w:val="24"/>
        </w:rPr>
        <w:t>of</w:t>
      </w:r>
      <w:r w:rsidRPr="002F33B2">
        <w:rPr>
          <w:spacing w:val="-3"/>
          <w:sz w:val="24"/>
          <w:szCs w:val="24"/>
        </w:rPr>
        <w:t xml:space="preserve"> </w:t>
      </w:r>
      <w:r w:rsidRPr="002F33B2">
        <w:rPr>
          <w:sz w:val="24"/>
          <w:szCs w:val="24"/>
        </w:rPr>
        <w:t>copper</w:t>
      </w:r>
      <w:r w:rsidRPr="002F33B2">
        <w:rPr>
          <w:spacing w:val="-4"/>
          <w:sz w:val="24"/>
          <w:szCs w:val="24"/>
        </w:rPr>
        <w:t xml:space="preserve"> </w:t>
      </w:r>
      <w:r w:rsidRPr="002F33B2">
        <w:rPr>
          <w:sz w:val="24"/>
          <w:szCs w:val="24"/>
        </w:rPr>
        <w:t>sulphate</w:t>
      </w:r>
      <w:r w:rsidRPr="002F33B2">
        <w:rPr>
          <w:spacing w:val="-6"/>
          <w:sz w:val="24"/>
          <w:szCs w:val="24"/>
        </w:rPr>
        <w:t xml:space="preserve"> </w:t>
      </w:r>
      <w:r w:rsidRPr="002F33B2">
        <w:rPr>
          <w:sz w:val="24"/>
          <w:szCs w:val="24"/>
        </w:rPr>
        <w:t>on</w:t>
      </w:r>
      <w:r w:rsidRPr="002F33B2">
        <w:rPr>
          <w:spacing w:val="-1"/>
          <w:sz w:val="24"/>
          <w:szCs w:val="24"/>
        </w:rPr>
        <w:t xml:space="preserve"> </w:t>
      </w:r>
      <w:r w:rsidRPr="002F33B2">
        <w:rPr>
          <w:sz w:val="24"/>
          <w:szCs w:val="24"/>
        </w:rPr>
        <w:t>growth</w:t>
      </w:r>
      <w:r w:rsidRPr="002F33B2">
        <w:rPr>
          <w:spacing w:val="-5"/>
          <w:sz w:val="24"/>
          <w:szCs w:val="24"/>
        </w:rPr>
        <w:t xml:space="preserve"> </w:t>
      </w:r>
      <w:r w:rsidRPr="002F33B2">
        <w:rPr>
          <w:sz w:val="24"/>
          <w:szCs w:val="24"/>
        </w:rPr>
        <w:t>characteristics</w:t>
      </w:r>
      <w:r w:rsidRPr="002F33B2">
        <w:rPr>
          <w:spacing w:val="-2"/>
          <w:sz w:val="24"/>
          <w:szCs w:val="24"/>
        </w:rPr>
        <w:t xml:space="preserve"> </w:t>
      </w:r>
      <w:r w:rsidRPr="002F33B2">
        <w:rPr>
          <w:sz w:val="24"/>
          <w:szCs w:val="24"/>
        </w:rPr>
        <w:t>of</w:t>
      </w:r>
      <w:r w:rsidRPr="002F33B2">
        <w:rPr>
          <w:spacing w:val="-5"/>
          <w:sz w:val="24"/>
          <w:szCs w:val="24"/>
        </w:rPr>
        <w:t xml:space="preserve"> </w:t>
      </w:r>
      <w:r w:rsidRPr="002F33B2">
        <w:rPr>
          <w:sz w:val="24"/>
          <w:szCs w:val="24"/>
        </w:rPr>
        <w:t>green</w:t>
      </w:r>
      <w:r w:rsidRPr="002F33B2">
        <w:rPr>
          <w:spacing w:val="-5"/>
          <w:sz w:val="24"/>
          <w:szCs w:val="24"/>
        </w:rPr>
        <w:t xml:space="preserve"> </w:t>
      </w:r>
      <w:r w:rsidRPr="002F33B2">
        <w:rPr>
          <w:sz w:val="24"/>
          <w:szCs w:val="24"/>
        </w:rPr>
        <w:t>gram</w:t>
      </w:r>
      <w:r w:rsidRPr="002F33B2">
        <w:rPr>
          <w:spacing w:val="-1"/>
          <w:sz w:val="24"/>
          <w:szCs w:val="24"/>
        </w:rPr>
        <w:t xml:space="preserve"> </w:t>
      </w:r>
      <w:r w:rsidRPr="002F33B2">
        <w:rPr>
          <w:sz w:val="24"/>
          <w:szCs w:val="24"/>
        </w:rPr>
        <w:t>(</w:t>
      </w:r>
      <w:r w:rsidRPr="002F33B2">
        <w:rPr>
          <w:i/>
          <w:iCs/>
          <w:sz w:val="24"/>
          <w:szCs w:val="24"/>
        </w:rPr>
        <w:t>Vigna</w:t>
      </w:r>
      <w:r w:rsidRPr="002F33B2">
        <w:rPr>
          <w:i/>
          <w:iCs/>
          <w:spacing w:val="-4"/>
          <w:sz w:val="24"/>
          <w:szCs w:val="24"/>
        </w:rPr>
        <w:t xml:space="preserve"> </w:t>
      </w:r>
      <w:r w:rsidRPr="002F33B2">
        <w:rPr>
          <w:i/>
          <w:iCs/>
          <w:sz w:val="24"/>
          <w:szCs w:val="24"/>
        </w:rPr>
        <w:t>radiata</w:t>
      </w:r>
      <w:r w:rsidRPr="002F33B2">
        <w:rPr>
          <w:sz w:val="24"/>
          <w:szCs w:val="24"/>
        </w:rPr>
        <w:t xml:space="preserve"> L.). </w:t>
      </w:r>
      <w:r w:rsidRPr="002F33B2">
        <w:rPr>
          <w:i/>
          <w:iCs/>
          <w:sz w:val="24"/>
          <w:szCs w:val="24"/>
        </w:rPr>
        <w:t>Journal of Global Innovations in Agricultural and Social Sciences</w:t>
      </w:r>
      <w:r w:rsidRPr="002F33B2">
        <w:rPr>
          <w:sz w:val="24"/>
          <w:szCs w:val="24"/>
        </w:rPr>
        <w:t xml:space="preserve">. 8(1): 23-25. </w:t>
      </w:r>
      <w:r w:rsidRPr="002F33B2">
        <w:rPr>
          <w:i/>
          <w:iCs/>
          <w:sz w:val="24"/>
          <w:szCs w:val="24"/>
        </w:rPr>
        <w:t>DOI:</w:t>
      </w:r>
      <w:r w:rsidRPr="002F33B2">
        <w:rPr>
          <w:sz w:val="24"/>
          <w:szCs w:val="24"/>
        </w:rPr>
        <w:t xml:space="preserve"> </w:t>
      </w:r>
      <w:r w:rsidRPr="002F33B2">
        <w:rPr>
          <w:i/>
          <w:iCs/>
          <w:sz w:val="24"/>
          <w:szCs w:val="24"/>
        </w:rPr>
        <w:t>https://doi.org/10.22194/JGIASS/8.884</w:t>
      </w:r>
    </w:p>
    <w:p w14:paraId="7362C777" w14:textId="77777777" w:rsidR="003542D8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/>
        <w:ind w:right="116" w:hanging="357"/>
        <w:jc w:val="both"/>
        <w:rPr>
          <w:sz w:val="24"/>
          <w:szCs w:val="24"/>
        </w:rPr>
      </w:pPr>
      <w:r w:rsidRPr="002F33B2">
        <w:rPr>
          <w:sz w:val="24"/>
          <w:szCs w:val="24"/>
        </w:rPr>
        <w:t></w:t>
      </w:r>
      <w:proofErr w:type="spellStart"/>
      <w:r w:rsidRPr="002F33B2">
        <w:rPr>
          <w:sz w:val="24"/>
          <w:szCs w:val="24"/>
        </w:rPr>
        <w:t>isha</w:t>
      </w:r>
      <w:proofErr w:type="spellEnd"/>
      <w:r w:rsidRPr="002F33B2">
        <w:rPr>
          <w:sz w:val="24"/>
          <w:szCs w:val="24"/>
        </w:rPr>
        <w:t></w:t>
      </w:r>
      <w:r w:rsidRPr="002F33B2">
        <w:rPr>
          <w:sz w:val="24"/>
          <w:szCs w:val="24"/>
        </w:rPr>
        <w:t>, M.</w:t>
      </w:r>
      <w:r w:rsidRPr="002F33B2">
        <w:rPr>
          <w:sz w:val="24"/>
          <w:szCs w:val="24"/>
        </w:rPr>
        <w:t></w:t>
      </w:r>
      <w:r w:rsidRPr="002F33B2">
        <w:rPr>
          <w:sz w:val="24"/>
          <w:szCs w:val="24"/>
        </w:rPr>
        <w:t></w:t>
      </w:r>
      <w:r w:rsidRPr="002F33B2">
        <w:rPr>
          <w:sz w:val="24"/>
          <w:szCs w:val="24"/>
        </w:rPr>
        <w:t>Saleem*</w:t>
      </w:r>
      <w:r w:rsidRPr="002F33B2">
        <w:rPr>
          <w:sz w:val="24"/>
          <w:szCs w:val="24"/>
        </w:rPr>
        <w:t></w:t>
      </w:r>
      <w:r w:rsidRPr="002F33B2">
        <w:rPr>
          <w:sz w:val="24"/>
          <w:szCs w:val="24"/>
        </w:rPr>
        <w:t xml:space="preserve">A. Shehzad, T. Ahmad, I. Hussain, T. Kanwal, M. Ahmad, U. </w:t>
      </w:r>
      <w:proofErr w:type="gramStart"/>
      <w:r w:rsidRPr="002F33B2">
        <w:rPr>
          <w:sz w:val="24"/>
          <w:szCs w:val="24"/>
        </w:rPr>
        <w:t>Khan</w:t>
      </w:r>
      <w:proofErr w:type="gramEnd"/>
      <w:r w:rsidRPr="002F33B2">
        <w:rPr>
          <w:sz w:val="24"/>
          <w:szCs w:val="24"/>
        </w:rPr>
        <w:t xml:space="preserve"> and S. Tariq. 2020. Evaluating the weed diversity responsible for cotton yield reduction in districts Jhang and Toba Tek Sing of Pakistan. </w:t>
      </w:r>
      <w:r w:rsidRPr="002F33B2">
        <w:rPr>
          <w:i/>
          <w:iCs/>
          <w:sz w:val="24"/>
          <w:szCs w:val="24"/>
        </w:rPr>
        <w:t>International Journal of Computational and Biological Sciences</w:t>
      </w:r>
      <w:r w:rsidRPr="002F33B2">
        <w:rPr>
          <w:sz w:val="24"/>
          <w:szCs w:val="24"/>
        </w:rPr>
        <w:t xml:space="preserve"> 1(2):1-11.</w:t>
      </w:r>
    </w:p>
    <w:p w14:paraId="2F8B0F0D" w14:textId="77777777" w:rsidR="003542D8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/>
        <w:ind w:right="116" w:hanging="357"/>
        <w:jc w:val="both"/>
        <w:rPr>
          <w:sz w:val="24"/>
          <w:szCs w:val="24"/>
        </w:rPr>
      </w:pPr>
      <w:r w:rsidRPr="002F33B2">
        <w:rPr>
          <w:sz w:val="24"/>
          <w:szCs w:val="24"/>
        </w:rPr>
        <w:t xml:space="preserve">Farooqi U.M, M. Tahir, M.A. Saleem and T. Ahmad. 2019. Effect of foliar application of nitrogen and boron on growth, </w:t>
      </w:r>
      <w:proofErr w:type="gramStart"/>
      <w:r w:rsidRPr="002F33B2">
        <w:rPr>
          <w:sz w:val="24"/>
          <w:szCs w:val="24"/>
        </w:rPr>
        <w:t>yield</w:t>
      </w:r>
      <w:proofErr w:type="gramEnd"/>
      <w:r w:rsidRPr="002F33B2">
        <w:rPr>
          <w:sz w:val="24"/>
          <w:szCs w:val="24"/>
        </w:rPr>
        <w:t xml:space="preserve"> and quality of wheat (</w:t>
      </w:r>
      <w:r w:rsidRPr="002F33B2">
        <w:rPr>
          <w:i/>
          <w:sz w:val="24"/>
          <w:szCs w:val="24"/>
        </w:rPr>
        <w:t>Triticum aestivum</w:t>
      </w:r>
      <w:r w:rsidRPr="002F33B2">
        <w:rPr>
          <w:sz w:val="24"/>
          <w:szCs w:val="24"/>
        </w:rPr>
        <w:t xml:space="preserve"> L.). </w:t>
      </w:r>
      <w:r w:rsidRPr="002F33B2">
        <w:rPr>
          <w:i/>
          <w:iCs/>
          <w:sz w:val="24"/>
          <w:szCs w:val="24"/>
        </w:rPr>
        <w:t>Pakistan Journal of Life and Social Science.</w:t>
      </w:r>
      <w:r w:rsidRPr="002F33B2">
        <w:rPr>
          <w:sz w:val="24"/>
          <w:szCs w:val="24"/>
        </w:rPr>
        <w:t xml:space="preserve"> 17(2): 93-99.</w:t>
      </w:r>
    </w:p>
    <w:p w14:paraId="6F8C67FE" w14:textId="5C7162D7" w:rsidR="00CA379C" w:rsidRPr="002F33B2" w:rsidRDefault="003542D8" w:rsidP="003542D8">
      <w:pPr>
        <w:pStyle w:val="ListParagraph"/>
        <w:numPr>
          <w:ilvl w:val="0"/>
          <w:numId w:val="1"/>
        </w:numPr>
        <w:tabs>
          <w:tab w:val="left" w:pos="829"/>
        </w:tabs>
        <w:spacing w:beforeLines="60" w:before="144"/>
        <w:ind w:right="116" w:hanging="357"/>
        <w:jc w:val="both"/>
        <w:rPr>
          <w:sz w:val="24"/>
          <w:szCs w:val="24"/>
        </w:rPr>
      </w:pPr>
      <w:r w:rsidRPr="002F33B2">
        <w:rPr>
          <w:sz w:val="24"/>
          <w:szCs w:val="24"/>
        </w:rPr>
        <w:t xml:space="preserve">Ahmad, T., M. Tahir, M.A. Saleem and M.A. Zafar. 2018. Response of soil application of boron to improve the growth, </w:t>
      </w:r>
      <w:proofErr w:type="gramStart"/>
      <w:r w:rsidRPr="002F33B2">
        <w:rPr>
          <w:sz w:val="24"/>
          <w:szCs w:val="24"/>
        </w:rPr>
        <w:t>yield</w:t>
      </w:r>
      <w:proofErr w:type="gramEnd"/>
      <w:r w:rsidRPr="002F33B2">
        <w:rPr>
          <w:sz w:val="24"/>
          <w:szCs w:val="24"/>
        </w:rPr>
        <w:t xml:space="preserve"> and quality of wheat (</w:t>
      </w:r>
      <w:r w:rsidRPr="002F33B2">
        <w:rPr>
          <w:i/>
          <w:iCs/>
          <w:sz w:val="24"/>
          <w:szCs w:val="24"/>
        </w:rPr>
        <w:t>Triticum aestivum</w:t>
      </w:r>
      <w:r w:rsidRPr="002F33B2">
        <w:rPr>
          <w:sz w:val="24"/>
          <w:szCs w:val="24"/>
        </w:rPr>
        <w:t xml:space="preserve"> L.). </w:t>
      </w:r>
      <w:r w:rsidRPr="002F33B2">
        <w:rPr>
          <w:i/>
          <w:iCs/>
          <w:sz w:val="24"/>
          <w:szCs w:val="24"/>
        </w:rPr>
        <w:t>Journal of Environment and Agriculture</w:t>
      </w:r>
      <w:r w:rsidRPr="002F33B2">
        <w:rPr>
          <w:sz w:val="24"/>
          <w:szCs w:val="24"/>
        </w:rPr>
        <w:t>. 3(2): 313-318.</w:t>
      </w:r>
    </w:p>
    <w:p w14:paraId="30D02C8E" w14:textId="7F524EB1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3B2">
        <w:rPr>
          <w:rFonts w:ascii="Times New Roman" w:hAnsi="Times New Roman" w:cs="Times New Roman"/>
          <w:b/>
          <w:bCs/>
          <w:sz w:val="24"/>
          <w:szCs w:val="24"/>
        </w:rPr>
        <w:t>Papers under review</w:t>
      </w:r>
    </w:p>
    <w:p w14:paraId="0B4865C9" w14:textId="77777777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 xml:space="preserve">Evaluating the response of mash bean to foliar applied Mn Fe Zn and B at </w:t>
      </w:r>
      <w:proofErr w:type="spellStart"/>
      <w:r w:rsidRPr="002F33B2">
        <w:rPr>
          <w:rFonts w:ascii="Times New Roman" w:hAnsi="Times New Roman" w:cs="Times New Roman"/>
          <w:sz w:val="24"/>
          <w:szCs w:val="24"/>
        </w:rPr>
        <w:t>diffrent</w:t>
      </w:r>
      <w:proofErr w:type="spellEnd"/>
      <w:r w:rsidRPr="002F33B2">
        <w:rPr>
          <w:rFonts w:ascii="Times New Roman" w:hAnsi="Times New Roman" w:cs="Times New Roman"/>
          <w:sz w:val="24"/>
          <w:szCs w:val="24"/>
        </w:rPr>
        <w:t xml:space="preserve"> growth stage</w:t>
      </w:r>
      <w:r w:rsidRPr="002F33B2">
        <w:rPr>
          <w:rFonts w:ascii="Times New Roman" w:hAnsi="Times New Roman" w:cs="Times New Roman"/>
          <w:sz w:val="24"/>
          <w:szCs w:val="24"/>
        </w:rPr>
        <w:t>s</w:t>
      </w:r>
    </w:p>
    <w:p w14:paraId="367AE373" w14:textId="7D77EEC5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2F33B2">
        <w:rPr>
          <w:rFonts w:ascii="Times New Roman" w:eastAsia="Times New Roman" w:hAnsi="Times New Roman" w:cs="Times New Roman"/>
          <w:caps/>
          <w:sz w:val="24"/>
          <w:szCs w:val="24"/>
        </w:rPr>
        <w:t>R</w:t>
      </w:r>
      <w:r w:rsidRPr="002F33B2">
        <w:rPr>
          <w:rFonts w:ascii="Times New Roman" w:eastAsia="Times New Roman" w:hAnsi="Times New Roman" w:cs="Times New Roman"/>
          <w:sz w:val="24"/>
          <w:szCs w:val="24"/>
        </w:rPr>
        <w:t>esponse of Yield and Quality parameters of Mung bean (</w:t>
      </w:r>
      <w:r w:rsidRPr="002F33B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Vigna</w:t>
      </w:r>
      <w:r w:rsidR="002F33B2" w:rsidRPr="002F33B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 </w:t>
      </w:r>
      <w:r w:rsidRPr="002F33B2"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radiate </w:t>
      </w:r>
      <w:r w:rsidRPr="002F33B2">
        <w:rPr>
          <w:rFonts w:ascii="Times New Roman" w:eastAsia="Times New Roman" w:hAnsi="Times New Roman" w:cs="Times New Roman"/>
          <w:sz w:val="24"/>
          <w:szCs w:val="24"/>
          <w:highlight w:val="white"/>
        </w:rPr>
        <w:t>L.) to different application methods of humic acid</w:t>
      </w:r>
    </w:p>
    <w:p w14:paraId="19D99E05" w14:textId="77777777" w:rsidR="003542D8" w:rsidRPr="002F33B2" w:rsidRDefault="003542D8" w:rsidP="003542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>Growth and yield attributes of wheat influenced by varied sowing dates and seed sizes</w:t>
      </w:r>
    </w:p>
    <w:p w14:paraId="49CA8790" w14:textId="60CA3768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>Impact of Cadmium Toxicity on Growth attributes of Green Gram</w:t>
      </w:r>
    </w:p>
    <w:p w14:paraId="48BC8020" w14:textId="57616E23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Style w:val="Heading1Char"/>
          <w:rFonts w:eastAsiaTheme="minorHAnsi"/>
          <w:b w:val="0"/>
          <w:bCs w:val="0"/>
        </w:rPr>
      </w:pPr>
      <w:r w:rsidRPr="002F33B2">
        <w:rPr>
          <w:rStyle w:val="Heading1Char"/>
          <w:rFonts w:eastAsiaTheme="minorHAnsi"/>
          <w:b w:val="0"/>
          <w:bCs w:val="0"/>
        </w:rPr>
        <w:t>Effect of soil applied zinc and boron on growth, yield and quality of spring planted maize</w:t>
      </w:r>
    </w:p>
    <w:p w14:paraId="4FCB22EF" w14:textId="6B9B26FE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>Comparative performances of new wheat lines under different irrigation regimes</w:t>
      </w:r>
    </w:p>
    <w:p w14:paraId="3A33CD05" w14:textId="7DAA6178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>Interactive Effect of Foliar Spray of Salicylic Acid and Gibberellic Acid on Growth, Yield and Quality of Green Gram</w:t>
      </w:r>
    </w:p>
    <w:p w14:paraId="3DC12A27" w14:textId="0C531B14" w:rsidR="003542D8" w:rsidRPr="002F33B2" w:rsidRDefault="003542D8" w:rsidP="002F33B2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2F33B2">
        <w:rPr>
          <w:rFonts w:ascii="Times New Roman" w:hAnsi="Times New Roman" w:cs="Times New Roman"/>
          <w:sz w:val="24"/>
          <w:szCs w:val="24"/>
        </w:rPr>
        <w:t>Effectiveness of N spray on growth attributes and oil contents of Tulsi plant</w:t>
      </w:r>
    </w:p>
    <w:p w14:paraId="04E9ADD2" w14:textId="6945AB79" w:rsidR="003542D8" w:rsidRPr="002F33B2" w:rsidRDefault="003542D8" w:rsidP="003542D8">
      <w:pPr>
        <w:tabs>
          <w:tab w:val="left" w:pos="829"/>
        </w:tabs>
        <w:spacing w:beforeLines="60" w:before="144"/>
        <w:ind w:right="1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33B2">
        <w:rPr>
          <w:rFonts w:ascii="Times New Roman" w:hAnsi="Times New Roman" w:cs="Times New Roman"/>
          <w:b/>
          <w:bCs/>
          <w:sz w:val="24"/>
          <w:szCs w:val="24"/>
        </w:rPr>
        <w:t>Book chapters</w:t>
      </w:r>
    </w:p>
    <w:p w14:paraId="4E374D55" w14:textId="2E46AF20" w:rsidR="003542D8" w:rsidRPr="002F33B2" w:rsidRDefault="003542D8" w:rsidP="002F33B2">
      <w:pPr>
        <w:pStyle w:val="Heading1"/>
        <w:spacing w:before="1"/>
        <w:jc w:val="both"/>
        <w:rPr>
          <w:b w:val="0"/>
          <w:bCs w:val="0"/>
          <w:caps/>
        </w:rPr>
      </w:pPr>
      <w:r w:rsidRPr="002F33B2">
        <w:rPr>
          <w:b w:val="0"/>
          <w:bCs w:val="0"/>
          <w:shd w:val="clear" w:color="auto" w:fill="FFFFFF"/>
        </w:rPr>
        <w:t>Akram M. Z., S. Nazeer, A. Sadia and M. A. Saleem. 2021.</w:t>
      </w:r>
      <w:r w:rsidRPr="002F33B2">
        <w:rPr>
          <w:b w:val="0"/>
          <w:bCs w:val="0"/>
          <w:i/>
          <w:iCs/>
          <w:shd w:val="clear" w:color="auto" w:fill="FFFFFF"/>
        </w:rPr>
        <w:t xml:space="preserve"> </w:t>
      </w:r>
      <w:r w:rsidRPr="002F33B2">
        <w:rPr>
          <w:b w:val="0"/>
          <w:bCs w:val="0"/>
          <w:shd w:val="clear" w:color="auto" w:fill="FFFFFF"/>
        </w:rPr>
        <w:t xml:space="preserve">Phytoremediation and Environmental Factors. </w:t>
      </w:r>
      <w:r w:rsidRPr="002F33B2">
        <w:rPr>
          <w:b w:val="0"/>
          <w:bCs w:val="0"/>
          <w:i/>
          <w:iCs/>
          <w:shd w:val="clear" w:color="auto" w:fill="FFFFFF"/>
        </w:rPr>
        <w:t>In:</w:t>
      </w:r>
      <w:r w:rsidRPr="002F33B2">
        <w:rPr>
          <w:b w:val="0"/>
          <w:bCs w:val="0"/>
          <w:shd w:val="clear" w:color="auto" w:fill="FFFFFF"/>
        </w:rPr>
        <w:t xml:space="preserve"> Malik J.A., M.R. Goyal and K.A. </w:t>
      </w:r>
      <w:proofErr w:type="spellStart"/>
      <w:r w:rsidRPr="002F33B2">
        <w:rPr>
          <w:b w:val="0"/>
          <w:bCs w:val="0"/>
          <w:shd w:val="clear" w:color="auto" w:fill="FFFFFF"/>
        </w:rPr>
        <w:t>Wani</w:t>
      </w:r>
      <w:proofErr w:type="spellEnd"/>
      <w:r w:rsidRPr="002F33B2">
        <w:rPr>
          <w:b w:val="0"/>
          <w:bCs w:val="0"/>
          <w:shd w:val="clear" w:color="auto" w:fill="FFFFFF"/>
        </w:rPr>
        <w:t>. Bioremediation and Phytoremediation Technologies in Sustainable Soil Management, Vol. 1. Apple academic press (Taylor &amp; Francis).</w:t>
      </w:r>
    </w:p>
    <w:sectPr w:rsidR="003542D8" w:rsidRPr="002F33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07C3B"/>
    <w:multiLevelType w:val="hybridMultilevel"/>
    <w:tmpl w:val="DFF2C14E"/>
    <w:lvl w:ilvl="0" w:tplc="08090003">
      <w:start w:val="1"/>
      <w:numFmt w:val="bullet"/>
      <w:lvlText w:val="o"/>
      <w:lvlJc w:val="left"/>
      <w:pPr>
        <w:ind w:left="828" w:hanging="360"/>
      </w:pPr>
      <w:rPr>
        <w:rFonts w:ascii="Courier New" w:hAnsi="Courier New" w:cs="Courier New" w:hint="default"/>
        <w:w w:val="100"/>
        <w:lang w:val="en-US" w:eastAsia="en-US" w:bidi="ar-SA"/>
      </w:rPr>
    </w:lvl>
    <w:lvl w:ilvl="1" w:tplc="D73EEF68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ar-SA"/>
      </w:rPr>
    </w:lvl>
    <w:lvl w:ilvl="2" w:tplc="FD763F14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ar-SA"/>
      </w:rPr>
    </w:lvl>
    <w:lvl w:ilvl="3" w:tplc="388A7056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ar-SA"/>
      </w:rPr>
    </w:lvl>
    <w:lvl w:ilvl="4" w:tplc="19486408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ar-SA"/>
      </w:rPr>
    </w:lvl>
    <w:lvl w:ilvl="5" w:tplc="E00A74C8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ar-SA"/>
      </w:rPr>
    </w:lvl>
    <w:lvl w:ilvl="6" w:tplc="94DC41F2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ar-SA"/>
      </w:rPr>
    </w:lvl>
    <w:lvl w:ilvl="7" w:tplc="4A4EFA72">
      <w:numFmt w:val="bullet"/>
      <w:lvlText w:val="•"/>
      <w:lvlJc w:val="left"/>
      <w:pPr>
        <w:ind w:left="7533" w:hanging="360"/>
      </w:pPr>
      <w:rPr>
        <w:rFonts w:hint="default"/>
        <w:lang w:val="en-US" w:eastAsia="en-US" w:bidi="ar-SA"/>
      </w:rPr>
    </w:lvl>
    <w:lvl w:ilvl="8" w:tplc="969E94B6">
      <w:numFmt w:val="bullet"/>
      <w:lvlText w:val="•"/>
      <w:lvlJc w:val="left"/>
      <w:pPr>
        <w:ind w:left="84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2D8"/>
    <w:rsid w:val="00053F78"/>
    <w:rsid w:val="00084A82"/>
    <w:rsid w:val="001731D8"/>
    <w:rsid w:val="00232E76"/>
    <w:rsid w:val="002B6DC5"/>
    <w:rsid w:val="002F33B2"/>
    <w:rsid w:val="003542D8"/>
    <w:rsid w:val="00471CD0"/>
    <w:rsid w:val="00593EFA"/>
    <w:rsid w:val="005D0BE5"/>
    <w:rsid w:val="006663F2"/>
    <w:rsid w:val="006E330E"/>
    <w:rsid w:val="007C63A6"/>
    <w:rsid w:val="008D54CD"/>
    <w:rsid w:val="00C164FD"/>
    <w:rsid w:val="00CA379C"/>
    <w:rsid w:val="00CE055C"/>
    <w:rsid w:val="00E56111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AE0E"/>
  <w15:chartTrackingRefBased/>
  <w15:docId w15:val="{E93C7AF6-58F2-4732-8019-DB7F356B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42D8"/>
    <w:pPr>
      <w:widowControl w:val="0"/>
      <w:autoSpaceDE w:val="0"/>
      <w:autoSpaceDN w:val="0"/>
      <w:spacing w:after="0" w:line="240" w:lineRule="auto"/>
      <w:ind w:left="107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542D8"/>
    <w:pPr>
      <w:widowControl w:val="0"/>
      <w:autoSpaceDE w:val="0"/>
      <w:autoSpaceDN w:val="0"/>
      <w:spacing w:after="0" w:line="240" w:lineRule="auto"/>
      <w:ind w:left="828" w:hanging="361"/>
    </w:pPr>
    <w:rPr>
      <w:rFonts w:ascii="Times New Roman" w:eastAsia="Times New Roman" w:hAnsi="Times New Roman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542D8"/>
    <w:rPr>
      <w:rFonts w:ascii="Times New Roman" w:eastAsia="Times New Roman" w:hAnsi="Times New Roman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Saleem</dc:creator>
  <cp:keywords/>
  <dc:description/>
  <cp:lastModifiedBy>Abdullah Saleem</cp:lastModifiedBy>
  <cp:revision>1</cp:revision>
  <dcterms:created xsi:type="dcterms:W3CDTF">2021-03-26T04:37:00Z</dcterms:created>
  <dcterms:modified xsi:type="dcterms:W3CDTF">2021-03-26T05:05:00Z</dcterms:modified>
</cp:coreProperties>
</file>